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2E6B" w14:textId="77777777" w:rsidR="003E52A7" w:rsidRPr="00EA311E" w:rsidRDefault="003E52A7" w:rsidP="00D90D39">
      <w:pPr>
        <w:spacing w:line="360" w:lineRule="auto"/>
        <w:jc w:val="center"/>
        <w:rPr>
          <w:rFonts w:ascii="Trebuchet MS" w:hAnsi="Trebuchet MS"/>
          <w:b/>
          <w:sz w:val="20"/>
        </w:rPr>
      </w:pPr>
      <w:r w:rsidRPr="00EA311E">
        <w:rPr>
          <w:rFonts w:ascii="Trebuchet MS" w:hAnsi="Trebuchet MS"/>
          <w:b/>
          <w:sz w:val="20"/>
        </w:rPr>
        <w:t>Report of Consultation</w:t>
      </w:r>
    </w:p>
    <w:p w14:paraId="71F08DD8" w14:textId="77777777" w:rsidR="00D90D39" w:rsidRDefault="00B646FE" w:rsidP="00D90D39">
      <w:pPr>
        <w:spacing w:line="360" w:lineRule="auto"/>
        <w:jc w:val="center"/>
        <w:rPr>
          <w:rFonts w:ascii="Trebuchet MS" w:hAnsi="Trebuchet MS"/>
          <w:b/>
          <w:sz w:val="20"/>
        </w:rPr>
      </w:pPr>
      <w:r w:rsidRPr="00B646FE">
        <w:rPr>
          <w:rFonts w:ascii="Trebuchet MS" w:hAnsi="Trebuchet MS"/>
          <w:b/>
          <w:sz w:val="20"/>
        </w:rPr>
        <w:t>Supplementary Planning Guidance</w:t>
      </w:r>
      <w:r w:rsidR="008D0242">
        <w:rPr>
          <w:rFonts w:ascii="Trebuchet MS" w:hAnsi="Trebuchet MS"/>
          <w:b/>
          <w:sz w:val="20"/>
        </w:rPr>
        <w:t xml:space="preserve"> </w:t>
      </w:r>
    </w:p>
    <w:p w14:paraId="347E828B" w14:textId="77777777" w:rsidR="00D90D39" w:rsidRDefault="00EA311E" w:rsidP="00D90D39">
      <w:pPr>
        <w:spacing w:line="360" w:lineRule="auto"/>
        <w:jc w:val="center"/>
        <w:rPr>
          <w:rFonts w:ascii="Trebuchet MS" w:hAnsi="Trebuchet MS"/>
          <w:sz w:val="20"/>
        </w:rPr>
      </w:pPr>
      <w:r w:rsidRPr="00EA311E">
        <w:rPr>
          <w:rFonts w:ascii="Trebuchet MS" w:hAnsi="Trebuchet MS"/>
          <w:sz w:val="20"/>
        </w:rPr>
        <w:t>to the Pembrokeshire Coast National Park Local Development Plan</w:t>
      </w:r>
      <w:r w:rsidR="00090B6E">
        <w:rPr>
          <w:rFonts w:ascii="Trebuchet MS" w:hAnsi="Trebuchet MS"/>
          <w:sz w:val="20"/>
        </w:rPr>
        <w:t xml:space="preserve"> 2</w:t>
      </w:r>
    </w:p>
    <w:p w14:paraId="7462D7B3" w14:textId="77777777" w:rsidR="00090B6E" w:rsidRDefault="00090B6E" w:rsidP="00D90D39">
      <w:pPr>
        <w:spacing w:line="36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to the Pembrokeshire County Council Local Development Plan 1</w:t>
      </w:r>
    </w:p>
    <w:p w14:paraId="0EF9D9A1" w14:textId="77777777" w:rsidR="00090B6E" w:rsidRDefault="00090B6E" w:rsidP="008D0242">
      <w:pPr>
        <w:jc w:val="both"/>
        <w:rPr>
          <w:rFonts w:ascii="Trebuchet MS" w:hAnsi="Trebuchet MS"/>
          <w:sz w:val="20"/>
        </w:rPr>
      </w:pPr>
    </w:p>
    <w:p w14:paraId="58E196A2" w14:textId="48EFDC4C" w:rsidR="002C6CB5" w:rsidRPr="002C6CB5" w:rsidRDefault="002C6CB5" w:rsidP="00F62BF9">
      <w:pPr>
        <w:jc w:val="both"/>
        <w:rPr>
          <w:sz w:val="20"/>
        </w:rPr>
      </w:pPr>
      <w:r w:rsidRPr="002C6CB5">
        <w:rPr>
          <w:sz w:val="20"/>
        </w:rPr>
        <w:t>The guidance documents consulted upon are listed below. One was a guidance document prepared jointly with Pembrokeshire County Council.</w:t>
      </w:r>
    </w:p>
    <w:p w14:paraId="615CBB16" w14:textId="77777777" w:rsidR="002C6CB5" w:rsidRPr="002C6CB5" w:rsidRDefault="002C6CB5" w:rsidP="002C6CB5">
      <w:pPr>
        <w:jc w:val="both"/>
        <w:rPr>
          <w:sz w:val="20"/>
        </w:rPr>
      </w:pP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2C6CB5" w:rsidRPr="002C6CB5" w14:paraId="46039768" w14:textId="77777777" w:rsidTr="00C706A8">
        <w:tc>
          <w:tcPr>
            <w:tcW w:w="8489" w:type="dxa"/>
          </w:tcPr>
          <w:p w14:paraId="3D822CF5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Cumulative Impact of Wind Turbines - Guidance prepared jointly with Pembrokeshire County Council</w:t>
            </w:r>
          </w:p>
        </w:tc>
      </w:tr>
      <w:tr w:rsidR="002C6CB5" w:rsidRPr="002C6CB5" w14:paraId="7789ED0C" w14:textId="77777777" w:rsidTr="00C706A8">
        <w:tc>
          <w:tcPr>
            <w:tcW w:w="8489" w:type="dxa"/>
          </w:tcPr>
          <w:p w14:paraId="12D459E9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 xml:space="preserve">Coal - Land Instability </w:t>
            </w:r>
          </w:p>
        </w:tc>
      </w:tr>
      <w:tr w:rsidR="002C6CB5" w:rsidRPr="002C6CB5" w14:paraId="247BD226" w14:textId="77777777" w:rsidTr="00C706A8">
        <w:tc>
          <w:tcPr>
            <w:tcW w:w="8489" w:type="dxa"/>
          </w:tcPr>
          <w:p w14:paraId="0157E86A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Loss of Hotels and Guest Houses</w:t>
            </w:r>
          </w:p>
        </w:tc>
      </w:tr>
      <w:tr w:rsidR="002C6CB5" w:rsidRPr="002C6CB5" w14:paraId="69879482" w14:textId="77777777" w:rsidTr="00C706A8">
        <w:tc>
          <w:tcPr>
            <w:tcW w:w="8489" w:type="dxa"/>
          </w:tcPr>
          <w:p w14:paraId="3D39B2A7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Regionally Important Geodiversity Sites</w:t>
            </w:r>
          </w:p>
        </w:tc>
      </w:tr>
      <w:tr w:rsidR="002C6CB5" w:rsidRPr="002C6CB5" w14:paraId="2539EF49" w14:textId="77777777" w:rsidTr="00C706A8">
        <w:tc>
          <w:tcPr>
            <w:tcW w:w="8489" w:type="dxa"/>
          </w:tcPr>
          <w:p w14:paraId="11592DAD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Safeguarding Minerals Zones</w:t>
            </w:r>
          </w:p>
        </w:tc>
      </w:tr>
      <w:tr w:rsidR="002C6CB5" w:rsidRPr="002C6CB5" w14:paraId="487D28B1" w14:textId="77777777" w:rsidTr="00C706A8">
        <w:tc>
          <w:tcPr>
            <w:tcW w:w="8489" w:type="dxa"/>
          </w:tcPr>
          <w:p w14:paraId="3A9D8828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Angle Conservation Area</w:t>
            </w:r>
          </w:p>
        </w:tc>
      </w:tr>
      <w:tr w:rsidR="002C6CB5" w:rsidRPr="002C6CB5" w14:paraId="7BA88503" w14:textId="77777777" w:rsidTr="00C706A8">
        <w:tc>
          <w:tcPr>
            <w:tcW w:w="8489" w:type="dxa"/>
          </w:tcPr>
          <w:p w14:paraId="048EF70E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Caerfarchell Conservation Area</w:t>
            </w:r>
          </w:p>
        </w:tc>
      </w:tr>
      <w:tr w:rsidR="002C6CB5" w:rsidRPr="002C6CB5" w14:paraId="28523CA8" w14:textId="77777777" w:rsidTr="00C706A8">
        <w:tc>
          <w:tcPr>
            <w:tcW w:w="8489" w:type="dxa"/>
          </w:tcPr>
          <w:p w14:paraId="0B03B563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Caldey Conservation Area</w:t>
            </w:r>
          </w:p>
        </w:tc>
      </w:tr>
      <w:tr w:rsidR="002C6CB5" w:rsidRPr="002C6CB5" w14:paraId="3C1950B7" w14:textId="77777777" w:rsidTr="00C706A8">
        <w:tc>
          <w:tcPr>
            <w:tcW w:w="8489" w:type="dxa"/>
          </w:tcPr>
          <w:p w14:paraId="75EDBA84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Little Haven Conservation Area</w:t>
            </w:r>
          </w:p>
        </w:tc>
      </w:tr>
      <w:tr w:rsidR="002C6CB5" w:rsidRPr="002C6CB5" w14:paraId="027E9FEE" w14:textId="77777777" w:rsidTr="00C706A8">
        <w:tc>
          <w:tcPr>
            <w:tcW w:w="8489" w:type="dxa"/>
          </w:tcPr>
          <w:p w14:paraId="323A5293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Manorbier Conservation Area</w:t>
            </w:r>
          </w:p>
        </w:tc>
      </w:tr>
      <w:tr w:rsidR="002C6CB5" w:rsidRPr="002C6CB5" w14:paraId="3D6F5111" w14:textId="77777777" w:rsidTr="00C706A8">
        <w:tc>
          <w:tcPr>
            <w:tcW w:w="8489" w:type="dxa"/>
          </w:tcPr>
          <w:p w14:paraId="4ECA2EB9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Newport Conservation Area</w:t>
            </w:r>
          </w:p>
        </w:tc>
      </w:tr>
      <w:tr w:rsidR="002C6CB5" w:rsidRPr="002C6CB5" w14:paraId="11F77DE6" w14:textId="77777777" w:rsidTr="00C706A8">
        <w:tc>
          <w:tcPr>
            <w:tcW w:w="8489" w:type="dxa"/>
          </w:tcPr>
          <w:p w14:paraId="7285CC32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Portclew Conservation Area</w:t>
            </w:r>
          </w:p>
        </w:tc>
      </w:tr>
      <w:tr w:rsidR="002C6CB5" w:rsidRPr="002C6CB5" w14:paraId="0FD3D81A" w14:textId="77777777" w:rsidTr="00C706A8">
        <w:tc>
          <w:tcPr>
            <w:tcW w:w="8489" w:type="dxa"/>
          </w:tcPr>
          <w:p w14:paraId="5EA58B0A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Porthgain Conservation Area</w:t>
            </w:r>
          </w:p>
        </w:tc>
      </w:tr>
      <w:tr w:rsidR="002C6CB5" w:rsidRPr="002C6CB5" w14:paraId="61E1C76C" w14:textId="77777777" w:rsidTr="00C706A8">
        <w:tc>
          <w:tcPr>
            <w:tcW w:w="8489" w:type="dxa"/>
          </w:tcPr>
          <w:p w14:paraId="4D160C46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Saundersfoot Conservation Area</w:t>
            </w:r>
          </w:p>
        </w:tc>
      </w:tr>
      <w:tr w:rsidR="002C6CB5" w:rsidRPr="002C6CB5" w14:paraId="4ADC83A3" w14:textId="77777777" w:rsidTr="00C706A8">
        <w:tc>
          <w:tcPr>
            <w:tcW w:w="8489" w:type="dxa"/>
          </w:tcPr>
          <w:p w14:paraId="2DAC6CF3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 xml:space="preserve">Solva Conservation Area </w:t>
            </w:r>
          </w:p>
        </w:tc>
      </w:tr>
      <w:tr w:rsidR="002C6CB5" w:rsidRPr="002C6CB5" w14:paraId="52DABB4A" w14:textId="77777777" w:rsidTr="00C706A8">
        <w:tc>
          <w:tcPr>
            <w:tcW w:w="8489" w:type="dxa"/>
          </w:tcPr>
          <w:p w14:paraId="08B2EA7F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St Davids Conservation Area</w:t>
            </w:r>
          </w:p>
        </w:tc>
      </w:tr>
      <w:tr w:rsidR="002C6CB5" w:rsidRPr="002C6CB5" w14:paraId="102C8389" w14:textId="77777777" w:rsidTr="00C706A8">
        <w:tc>
          <w:tcPr>
            <w:tcW w:w="8489" w:type="dxa"/>
          </w:tcPr>
          <w:p w14:paraId="2C4FE5B8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Tenby Conservation Area</w:t>
            </w:r>
          </w:p>
        </w:tc>
      </w:tr>
      <w:tr w:rsidR="002C6CB5" w:rsidRPr="002C6CB5" w14:paraId="33D93270" w14:textId="77777777" w:rsidTr="00C706A8">
        <w:tc>
          <w:tcPr>
            <w:tcW w:w="8489" w:type="dxa"/>
          </w:tcPr>
          <w:p w14:paraId="16BEE162" w14:textId="77777777" w:rsidR="002C6CB5" w:rsidRPr="002C6CB5" w:rsidRDefault="002C6CB5" w:rsidP="00C706A8">
            <w:pPr>
              <w:jc w:val="both"/>
              <w:rPr>
                <w:sz w:val="20"/>
              </w:rPr>
            </w:pPr>
            <w:r w:rsidRPr="002C6CB5">
              <w:rPr>
                <w:sz w:val="20"/>
              </w:rPr>
              <w:t>Trefin Conservation Area</w:t>
            </w:r>
          </w:p>
        </w:tc>
      </w:tr>
    </w:tbl>
    <w:p w14:paraId="2E70B141" w14:textId="77777777" w:rsidR="002C6CB5" w:rsidRPr="002C6CB5" w:rsidRDefault="002C6CB5" w:rsidP="002C6CB5">
      <w:pPr>
        <w:pStyle w:val="ListParagraph"/>
        <w:jc w:val="both"/>
        <w:rPr>
          <w:sz w:val="20"/>
        </w:rPr>
      </w:pPr>
    </w:p>
    <w:p w14:paraId="344CD7CA" w14:textId="76B386FE" w:rsidR="002C6CB5" w:rsidRPr="002C6CB5" w:rsidRDefault="002C6CB5" w:rsidP="00F62BF9">
      <w:pPr>
        <w:jc w:val="both"/>
        <w:rPr>
          <w:sz w:val="20"/>
        </w:rPr>
      </w:pPr>
      <w:r w:rsidRPr="002C6CB5">
        <w:rPr>
          <w:sz w:val="20"/>
        </w:rPr>
        <w:t>The guidance document on Cumulative Impact of Wind Turbines covers the whole of Pembrokeshire</w:t>
      </w:r>
      <w:r>
        <w:rPr>
          <w:sz w:val="20"/>
        </w:rPr>
        <w:t xml:space="preserve">. </w:t>
      </w:r>
      <w:r w:rsidRPr="002C6CB5">
        <w:rPr>
          <w:sz w:val="20"/>
        </w:rPr>
        <w:t xml:space="preserve">The rest cover the Pembrokeshire Coast National Park only.   </w:t>
      </w:r>
    </w:p>
    <w:p w14:paraId="02FF3DAC" w14:textId="77777777" w:rsidR="002C6CB5" w:rsidRPr="002C6CB5" w:rsidRDefault="002C6CB5" w:rsidP="002C6CB5">
      <w:pPr>
        <w:pStyle w:val="ListParagraph"/>
        <w:jc w:val="both"/>
        <w:rPr>
          <w:sz w:val="20"/>
        </w:rPr>
      </w:pPr>
    </w:p>
    <w:p w14:paraId="2E107D1E" w14:textId="517C0EB4" w:rsidR="004E2E75" w:rsidRPr="002C6CB5" w:rsidRDefault="002C6CB5" w:rsidP="00F62BF9">
      <w:pPr>
        <w:jc w:val="both"/>
        <w:rPr>
          <w:sz w:val="20"/>
        </w:rPr>
      </w:pPr>
      <w:r w:rsidRPr="002C6CB5">
        <w:rPr>
          <w:sz w:val="20"/>
        </w:rPr>
        <w:t>A public consultation on the guidance started in early January 2022 and ended on the 15</w:t>
      </w:r>
      <w:r w:rsidRPr="002C6CB5">
        <w:rPr>
          <w:sz w:val="20"/>
          <w:vertAlign w:val="superscript"/>
        </w:rPr>
        <w:t>th</w:t>
      </w:r>
      <w:r w:rsidRPr="002C6CB5">
        <w:rPr>
          <w:sz w:val="20"/>
        </w:rPr>
        <w:t xml:space="preserve"> April 2022. A formal notice was published in the Western Telegraph and Pembrokeshire Herald advertising the consultation and a press release advertising the consultation was also sent to local papers and radio outlets.  Electronic copies were made available on our websites with paper copies available at Llanion</w:t>
      </w:r>
      <w:r>
        <w:rPr>
          <w:sz w:val="20"/>
        </w:rPr>
        <w:t xml:space="preserve"> Pembrokeshire Coast National Park Head Quarters in Pembroke Dock</w:t>
      </w:r>
      <w:r w:rsidRPr="002C6CB5">
        <w:rPr>
          <w:sz w:val="20"/>
        </w:rPr>
        <w:t xml:space="preserve"> and </w:t>
      </w:r>
      <w:r>
        <w:rPr>
          <w:sz w:val="20"/>
        </w:rPr>
        <w:t xml:space="preserve">at </w:t>
      </w:r>
      <w:r w:rsidRPr="002C6CB5">
        <w:rPr>
          <w:sz w:val="20"/>
        </w:rPr>
        <w:t>Oriel y Parc</w:t>
      </w:r>
      <w:r>
        <w:rPr>
          <w:sz w:val="20"/>
        </w:rPr>
        <w:t>, St Davids</w:t>
      </w:r>
      <w:r w:rsidRPr="002C6CB5">
        <w:rPr>
          <w:sz w:val="20"/>
        </w:rPr>
        <w:t>. The consultation period for all documents ran until 4.30pm on 15 April 2022. A reminder of the impending closing date for comments was placed in a press release in mid-March 2022.</w:t>
      </w:r>
      <w:r>
        <w:rPr>
          <w:sz w:val="20"/>
        </w:rPr>
        <w:t xml:space="preserve">  </w:t>
      </w:r>
      <w:r w:rsidR="00F51A33" w:rsidRPr="002C6CB5">
        <w:rPr>
          <w:rFonts w:ascii="Trebuchet MS" w:hAnsi="Trebuchet MS"/>
          <w:sz w:val="20"/>
        </w:rPr>
        <w:t>C</w:t>
      </w:r>
      <w:r w:rsidR="003E52A7" w:rsidRPr="002C6CB5">
        <w:rPr>
          <w:rFonts w:ascii="Trebuchet MS" w:hAnsi="Trebuchet MS"/>
          <w:sz w:val="20"/>
        </w:rPr>
        <w:t>onsultees on the Local Development Plan database</w:t>
      </w:r>
      <w:r w:rsidR="00F51A33" w:rsidRPr="002C6CB5">
        <w:rPr>
          <w:rFonts w:ascii="Trebuchet MS" w:hAnsi="Trebuchet MS"/>
          <w:sz w:val="20"/>
        </w:rPr>
        <w:t xml:space="preserve"> were either sent an email or letter of consultation</w:t>
      </w:r>
      <w:r w:rsidR="003E52A7" w:rsidRPr="002C6CB5">
        <w:rPr>
          <w:rFonts w:ascii="Trebuchet MS" w:hAnsi="Trebuchet MS"/>
          <w:sz w:val="20"/>
        </w:rPr>
        <w:t xml:space="preserve">. </w:t>
      </w:r>
      <w:r w:rsidR="00AA144A" w:rsidRPr="002C6CB5">
        <w:rPr>
          <w:rFonts w:ascii="Trebuchet MS" w:hAnsi="Trebuchet MS"/>
          <w:sz w:val="20"/>
        </w:rPr>
        <w:t xml:space="preserve"> </w:t>
      </w:r>
    </w:p>
    <w:p w14:paraId="499CA484" w14:textId="77777777" w:rsidR="004E2E75" w:rsidRDefault="004E2E75" w:rsidP="008D0242">
      <w:pPr>
        <w:jc w:val="both"/>
        <w:rPr>
          <w:rFonts w:ascii="Trebuchet MS" w:hAnsi="Trebuchet MS"/>
          <w:sz w:val="20"/>
        </w:rPr>
      </w:pPr>
    </w:p>
    <w:p w14:paraId="196033C6" w14:textId="07CAFCD9" w:rsidR="003E52A7" w:rsidRDefault="00583627" w:rsidP="008D0242">
      <w:pPr>
        <w:jc w:val="both"/>
        <w:rPr>
          <w:rFonts w:ascii="Trebuchet MS" w:hAnsi="Trebuchet MS"/>
          <w:sz w:val="20"/>
        </w:rPr>
      </w:pPr>
      <w:r w:rsidRPr="00090ACD">
        <w:rPr>
          <w:rFonts w:ascii="Trebuchet MS" w:hAnsi="Trebuchet MS"/>
          <w:sz w:val="20"/>
        </w:rPr>
        <w:t>All responses were acknowledged,</w:t>
      </w:r>
      <w:r w:rsidR="00F62BF9">
        <w:rPr>
          <w:rFonts w:ascii="Trebuchet MS" w:hAnsi="Trebuchet MS"/>
          <w:sz w:val="20"/>
        </w:rPr>
        <w:t xml:space="preserve"> </w:t>
      </w:r>
      <w:r w:rsidRPr="00090ACD">
        <w:rPr>
          <w:rFonts w:ascii="Trebuchet MS" w:hAnsi="Trebuchet MS"/>
          <w:sz w:val="20"/>
        </w:rPr>
        <w:t xml:space="preserve">and are </w:t>
      </w:r>
      <w:r w:rsidR="00475E4D">
        <w:rPr>
          <w:rFonts w:ascii="Trebuchet MS" w:hAnsi="Trebuchet MS"/>
          <w:sz w:val="20"/>
        </w:rPr>
        <w:t>publicly</w:t>
      </w:r>
      <w:r w:rsidR="00475E4D" w:rsidRPr="00090ACD">
        <w:rPr>
          <w:rFonts w:ascii="Trebuchet MS" w:hAnsi="Trebuchet MS"/>
          <w:sz w:val="20"/>
        </w:rPr>
        <w:t xml:space="preserve"> </w:t>
      </w:r>
      <w:r w:rsidRPr="00090ACD">
        <w:rPr>
          <w:rFonts w:ascii="Trebuchet MS" w:hAnsi="Trebuchet MS"/>
          <w:sz w:val="20"/>
        </w:rPr>
        <w:t>available</w:t>
      </w:r>
      <w:r w:rsidR="002C6CB5">
        <w:rPr>
          <w:rFonts w:ascii="Trebuchet MS" w:hAnsi="Trebuchet MS"/>
          <w:sz w:val="20"/>
        </w:rPr>
        <w:t xml:space="preserve"> (except for comments on the Loss of Hotels Supplementary Planning Guidance which will be reported at a later date)</w:t>
      </w:r>
      <w:r w:rsidR="00265951">
        <w:rPr>
          <w:rFonts w:ascii="Trebuchet MS" w:hAnsi="Trebuchet MS"/>
          <w:sz w:val="20"/>
        </w:rPr>
        <w:t xml:space="preserve"> </w:t>
      </w:r>
      <w:r w:rsidR="00265951" w:rsidRPr="00A6753F">
        <w:rPr>
          <w:rFonts w:ascii="Trebuchet MS" w:hAnsi="Trebuchet MS"/>
          <w:sz w:val="20"/>
        </w:rPr>
        <w:t>– see web link</w:t>
      </w:r>
      <w:r w:rsidR="00A6753F">
        <w:rPr>
          <w:rFonts w:ascii="Trebuchet MS" w:hAnsi="Trebuchet MS"/>
          <w:sz w:val="20"/>
        </w:rPr>
        <w:t>s</w:t>
      </w:r>
      <w:r w:rsidR="00265951" w:rsidRPr="00A6753F">
        <w:rPr>
          <w:rFonts w:ascii="Trebuchet MS" w:hAnsi="Trebuchet MS"/>
          <w:sz w:val="20"/>
        </w:rPr>
        <w:t xml:space="preserve"> below</w:t>
      </w:r>
      <w:r w:rsidRPr="00A6753F">
        <w:rPr>
          <w:rFonts w:ascii="Trebuchet MS" w:hAnsi="Trebuchet MS"/>
          <w:sz w:val="20"/>
        </w:rPr>
        <w:t>.</w:t>
      </w:r>
      <w:r w:rsidRPr="00090ACD">
        <w:rPr>
          <w:rFonts w:ascii="Trebuchet MS" w:hAnsi="Trebuchet MS"/>
          <w:sz w:val="20"/>
        </w:rPr>
        <w:t xml:space="preserve"> </w:t>
      </w:r>
    </w:p>
    <w:p w14:paraId="1AAEE1EA" w14:textId="77777777" w:rsidR="00F51A33" w:rsidRPr="00090ACD" w:rsidRDefault="00F51A33" w:rsidP="008D0242">
      <w:pPr>
        <w:jc w:val="both"/>
        <w:rPr>
          <w:rFonts w:ascii="Trebuchet MS" w:hAnsi="Trebuchet MS"/>
          <w:sz w:val="20"/>
        </w:rPr>
      </w:pPr>
    </w:p>
    <w:p w14:paraId="00596B18" w14:textId="77777777" w:rsidR="00090B6E" w:rsidRDefault="00090B6E" w:rsidP="008D0242">
      <w:pPr>
        <w:jc w:val="both"/>
        <w:rPr>
          <w:rFonts w:ascii="Trebuchet MS" w:hAnsi="Trebuchet MS"/>
          <w:sz w:val="20"/>
        </w:rPr>
      </w:pPr>
    </w:p>
    <w:p w14:paraId="016E2F78" w14:textId="77777777" w:rsidR="008B2ACD" w:rsidRDefault="00A52838" w:rsidP="008D0242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 report of the officer response</w:t>
      </w:r>
      <w:r w:rsidR="008B2ACD">
        <w:rPr>
          <w:rFonts w:ascii="Trebuchet MS" w:hAnsi="Trebuchet MS"/>
          <w:sz w:val="20"/>
        </w:rPr>
        <w:t>s</w:t>
      </w:r>
      <w:r>
        <w:rPr>
          <w:rFonts w:ascii="Trebuchet MS" w:hAnsi="Trebuchet MS"/>
          <w:sz w:val="20"/>
        </w:rPr>
        <w:t xml:space="preserve"> to </w:t>
      </w:r>
      <w:r w:rsidR="008B2ACD">
        <w:rPr>
          <w:rFonts w:ascii="Trebuchet MS" w:hAnsi="Trebuchet MS"/>
          <w:sz w:val="20"/>
        </w:rPr>
        <w:t xml:space="preserve">the supplementary planning guidance </w:t>
      </w:r>
      <w:r>
        <w:rPr>
          <w:rFonts w:ascii="Trebuchet MS" w:hAnsi="Trebuchet MS"/>
          <w:sz w:val="20"/>
        </w:rPr>
        <w:t xml:space="preserve">consultation can be viewed </w:t>
      </w:r>
      <w:r w:rsidR="008B2ACD">
        <w:rPr>
          <w:rFonts w:ascii="Trebuchet MS" w:hAnsi="Trebuchet MS"/>
          <w:sz w:val="20"/>
        </w:rPr>
        <w:t xml:space="preserve">using </w:t>
      </w:r>
      <w:r>
        <w:rPr>
          <w:rFonts w:ascii="Trebuchet MS" w:hAnsi="Trebuchet MS"/>
          <w:sz w:val="20"/>
        </w:rPr>
        <w:t>the following weblink</w:t>
      </w:r>
      <w:r w:rsidR="008B2ACD">
        <w:rPr>
          <w:rFonts w:ascii="Trebuchet MS" w:hAnsi="Trebuchet MS"/>
          <w:sz w:val="20"/>
        </w:rPr>
        <w:t>:</w:t>
      </w:r>
    </w:p>
    <w:p w14:paraId="7B1FC776" w14:textId="02946246" w:rsidR="00F51A33" w:rsidRDefault="00F51A33" w:rsidP="008D0242">
      <w:pPr>
        <w:jc w:val="both"/>
        <w:rPr>
          <w:rFonts w:ascii="Trebuchet MS" w:hAnsi="Trebuchet MS"/>
          <w:sz w:val="20"/>
        </w:rPr>
      </w:pPr>
    </w:p>
    <w:p w14:paraId="118ADACB" w14:textId="13F43872" w:rsidR="00F62BF9" w:rsidRDefault="00F62BF9" w:rsidP="008D0242">
      <w:pPr>
        <w:jc w:val="both"/>
        <w:rPr>
          <w:rFonts w:ascii="Trebuchet MS" w:hAnsi="Trebuchet MS"/>
          <w:sz w:val="20"/>
        </w:rPr>
      </w:pPr>
      <w:r>
        <w:rPr>
          <w:bCs w:val="0"/>
          <w:sz w:val="22"/>
          <w:szCs w:val="22"/>
        </w:rPr>
        <w:t>Pembrokeshire Coast National Park Authority’s meeting of 26 October 2022</w:t>
      </w:r>
      <w:r>
        <w:rPr>
          <w:bCs w:val="0"/>
          <w:sz w:val="22"/>
          <w:szCs w:val="22"/>
        </w:rPr>
        <w:t xml:space="preserve"> </w:t>
      </w:r>
    </w:p>
    <w:p w14:paraId="0D340347" w14:textId="05853960" w:rsidR="00090B6E" w:rsidRDefault="000557FE" w:rsidP="008D0242">
      <w:pPr>
        <w:jc w:val="both"/>
        <w:rPr>
          <w:rFonts w:ascii="Trebuchet MS" w:hAnsi="Trebuchet MS"/>
          <w:sz w:val="20"/>
        </w:rPr>
      </w:pPr>
      <w:hyperlink r:id="rId8" w:history="1"/>
      <w:r w:rsidR="00F62BF9">
        <w:rPr>
          <w:rStyle w:val="Hyperlink"/>
          <w:rFonts w:ascii="Trebuchet MS" w:hAnsi="Trebuchet MS"/>
          <w:sz w:val="20"/>
        </w:rPr>
        <w:t xml:space="preserve"> </w:t>
      </w:r>
      <w:hyperlink r:id="rId9" w:history="1">
        <w:r w:rsidR="00F62BF9" w:rsidRPr="00840B3E">
          <w:rPr>
            <w:rStyle w:val="Hyperlink"/>
            <w:rFonts w:ascii="Trebuchet MS" w:hAnsi="Trebuchet MS"/>
            <w:sz w:val="20"/>
          </w:rPr>
          <w:t>https://www.pembrokeshirecoast.wales/wp-content/uploads/2022/10/31_22-Report-of-Cons-SPG.pdf</w:t>
        </w:r>
      </w:hyperlink>
      <w:r w:rsidR="00F62BF9">
        <w:rPr>
          <w:rStyle w:val="Hyperlink"/>
          <w:rFonts w:ascii="Trebuchet MS" w:hAnsi="Trebuchet MS"/>
          <w:sz w:val="20"/>
        </w:rPr>
        <w:t xml:space="preserve"> </w:t>
      </w:r>
    </w:p>
    <w:p w14:paraId="1F6E67FA" w14:textId="77777777" w:rsidR="00090B6E" w:rsidRDefault="00090B6E" w:rsidP="008D0242">
      <w:pPr>
        <w:jc w:val="both"/>
        <w:rPr>
          <w:rFonts w:ascii="Trebuchet MS" w:hAnsi="Trebuchet MS"/>
          <w:sz w:val="20"/>
        </w:rPr>
      </w:pPr>
    </w:p>
    <w:p w14:paraId="58980D71" w14:textId="77777777" w:rsidR="00F62BF9" w:rsidRDefault="00F62BF9" w:rsidP="00F62BF9">
      <w:p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Pembrokeshire County Council’s cabinet meeting of the 7 November 2022. </w:t>
      </w:r>
    </w:p>
    <w:p w14:paraId="7A52533B" w14:textId="772D228F" w:rsidR="00F51A33" w:rsidRDefault="00F62BF9" w:rsidP="008D0242">
      <w:pPr>
        <w:jc w:val="both"/>
        <w:rPr>
          <w:rFonts w:ascii="Trebuchet MS" w:hAnsi="Trebuchet MS"/>
          <w:sz w:val="20"/>
        </w:rPr>
      </w:pPr>
      <w:hyperlink r:id="rId10" w:history="1">
        <w:r w:rsidRPr="00840B3E">
          <w:rPr>
            <w:rStyle w:val="Hyperlink"/>
            <w:rFonts w:ascii="Trebuchet MS" w:hAnsi="Trebuchet MS"/>
            <w:sz w:val="20"/>
          </w:rPr>
          <w:t>https://mgenglish.pembrokeshire.gov.uk/ieListD</w:t>
        </w:r>
        <w:r w:rsidRPr="00840B3E">
          <w:rPr>
            <w:rStyle w:val="Hyperlink"/>
            <w:rFonts w:ascii="Trebuchet MS" w:hAnsi="Trebuchet MS"/>
            <w:sz w:val="20"/>
          </w:rPr>
          <w:t>o</w:t>
        </w:r>
        <w:r w:rsidRPr="00840B3E">
          <w:rPr>
            <w:rStyle w:val="Hyperlink"/>
            <w:rFonts w:ascii="Trebuchet MS" w:hAnsi="Trebuchet MS"/>
            <w:sz w:val="20"/>
          </w:rPr>
          <w:t>cuments.aspx?CId=281&amp;MId=5506&amp;Ver=4</w:t>
        </w:r>
      </w:hyperlink>
      <w:r>
        <w:rPr>
          <w:rFonts w:ascii="Trebuchet MS" w:hAnsi="Trebuchet MS"/>
          <w:sz w:val="20"/>
        </w:rPr>
        <w:t xml:space="preserve"> </w:t>
      </w:r>
    </w:p>
    <w:p w14:paraId="00A2CD92" w14:textId="00B50161" w:rsidR="00F62BF9" w:rsidRDefault="00F62BF9" w:rsidP="008D0242">
      <w:pPr>
        <w:jc w:val="both"/>
        <w:rPr>
          <w:rFonts w:ascii="Trebuchet MS" w:hAnsi="Trebuchet MS"/>
          <w:sz w:val="20"/>
        </w:rPr>
      </w:pPr>
    </w:p>
    <w:p w14:paraId="3B02A794" w14:textId="77777777" w:rsidR="00F62BF9" w:rsidRDefault="00F62BF9" w:rsidP="008D0242">
      <w:pPr>
        <w:jc w:val="both"/>
        <w:rPr>
          <w:rFonts w:ascii="Trebuchet MS" w:hAnsi="Trebuchet MS"/>
          <w:sz w:val="20"/>
        </w:rPr>
      </w:pPr>
    </w:p>
    <w:p w14:paraId="434FF9EA" w14:textId="31AFDE13" w:rsidR="00ED757D" w:rsidRDefault="00266FA7" w:rsidP="008D0242">
      <w:pPr>
        <w:jc w:val="both"/>
        <w:rPr>
          <w:rFonts w:ascii="Trebuchet MS" w:hAnsi="Trebuchet MS"/>
          <w:sz w:val="20"/>
        </w:rPr>
      </w:pPr>
      <w:r w:rsidRPr="0087755D">
        <w:rPr>
          <w:rFonts w:ascii="Trebuchet MS" w:hAnsi="Trebuchet MS"/>
          <w:sz w:val="20"/>
        </w:rPr>
        <w:t xml:space="preserve">The </w:t>
      </w:r>
      <w:r w:rsidR="00A6753F">
        <w:rPr>
          <w:rFonts w:ascii="Trebuchet MS" w:hAnsi="Trebuchet MS"/>
          <w:sz w:val="20"/>
        </w:rPr>
        <w:t xml:space="preserve">National Park </w:t>
      </w:r>
      <w:r w:rsidRPr="0087755D">
        <w:rPr>
          <w:rFonts w:ascii="Trebuchet MS" w:hAnsi="Trebuchet MS"/>
          <w:sz w:val="20"/>
        </w:rPr>
        <w:t xml:space="preserve">Authority </w:t>
      </w:r>
      <w:r w:rsidR="00F62BF9">
        <w:rPr>
          <w:rFonts w:ascii="Trebuchet MS" w:hAnsi="Trebuchet MS"/>
          <w:sz w:val="20"/>
        </w:rPr>
        <w:t xml:space="preserve">and Pembrokeshire County Council’s Cabinet meeting </w:t>
      </w:r>
      <w:r w:rsidRPr="0087755D">
        <w:rPr>
          <w:rFonts w:ascii="Trebuchet MS" w:hAnsi="Trebuchet MS"/>
          <w:sz w:val="20"/>
        </w:rPr>
        <w:t>agreed that amendments be made to the g</w:t>
      </w:r>
      <w:r w:rsidR="00C611BC">
        <w:rPr>
          <w:rFonts w:ascii="Trebuchet MS" w:hAnsi="Trebuchet MS"/>
          <w:sz w:val="20"/>
        </w:rPr>
        <w:t>uidance in accordance with the o</w:t>
      </w:r>
      <w:r w:rsidRPr="0087755D">
        <w:rPr>
          <w:rFonts w:ascii="Trebuchet MS" w:hAnsi="Trebuchet MS"/>
          <w:sz w:val="20"/>
        </w:rPr>
        <w:t>fficer recommendations set out in the report</w:t>
      </w:r>
      <w:r w:rsidR="00F62BF9">
        <w:rPr>
          <w:rFonts w:ascii="Trebuchet MS" w:hAnsi="Trebuchet MS"/>
          <w:sz w:val="20"/>
        </w:rPr>
        <w:t xml:space="preserve">. </w:t>
      </w:r>
    </w:p>
    <w:p w14:paraId="17CE697D" w14:textId="1C0FBDC8" w:rsidR="00B64A8B" w:rsidRPr="001D3A4C" w:rsidRDefault="00B64A8B" w:rsidP="00B64A8B">
      <w:pPr>
        <w:pStyle w:val="ListParagraph"/>
        <w:jc w:val="both"/>
        <w:rPr>
          <w:rFonts w:ascii="Trebuchet MS" w:hAnsi="Trebuchet MS"/>
          <w:i/>
          <w:sz w:val="20"/>
        </w:rPr>
      </w:pPr>
    </w:p>
    <w:p w14:paraId="64B1A09F" w14:textId="77777777" w:rsidR="00266FA7" w:rsidRDefault="00266FA7" w:rsidP="008D0242">
      <w:pPr>
        <w:jc w:val="both"/>
        <w:rPr>
          <w:rFonts w:ascii="Trebuchet MS" w:hAnsi="Trebuchet MS"/>
          <w:sz w:val="20"/>
        </w:rPr>
      </w:pPr>
    </w:p>
    <w:p w14:paraId="0D6BE728" w14:textId="77777777" w:rsidR="001505DA" w:rsidRDefault="00A52838" w:rsidP="00C611BC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The </w:t>
      </w:r>
      <w:r w:rsidR="00B64A8B">
        <w:rPr>
          <w:rFonts w:ascii="Trebuchet MS" w:hAnsi="Trebuchet MS"/>
          <w:sz w:val="20"/>
        </w:rPr>
        <w:t xml:space="preserve">adopted </w:t>
      </w:r>
      <w:r w:rsidR="008B2ACD">
        <w:rPr>
          <w:rFonts w:ascii="Trebuchet MS" w:hAnsi="Trebuchet MS"/>
          <w:sz w:val="20"/>
        </w:rPr>
        <w:t>G</w:t>
      </w:r>
      <w:r>
        <w:rPr>
          <w:rFonts w:ascii="Trebuchet MS" w:hAnsi="Trebuchet MS"/>
          <w:sz w:val="20"/>
        </w:rPr>
        <w:t>uidance</w:t>
      </w:r>
      <w:r w:rsidR="007B526E">
        <w:rPr>
          <w:rFonts w:ascii="Trebuchet MS" w:hAnsi="Trebuchet MS"/>
          <w:sz w:val="20"/>
        </w:rPr>
        <w:t xml:space="preserve"> has been </w:t>
      </w:r>
      <w:r w:rsidR="008B2ACD">
        <w:rPr>
          <w:rFonts w:ascii="Trebuchet MS" w:hAnsi="Trebuchet MS"/>
          <w:sz w:val="20"/>
        </w:rPr>
        <w:t>uploaded</w:t>
      </w:r>
      <w:r>
        <w:rPr>
          <w:rFonts w:ascii="Trebuchet MS" w:hAnsi="Trebuchet MS"/>
          <w:sz w:val="20"/>
        </w:rPr>
        <w:t xml:space="preserve"> on th</w:t>
      </w:r>
      <w:r w:rsidR="008B2ACD">
        <w:rPr>
          <w:rFonts w:ascii="Trebuchet MS" w:hAnsi="Trebuchet MS"/>
          <w:sz w:val="20"/>
        </w:rPr>
        <w:t>e</w:t>
      </w:r>
      <w:r>
        <w:rPr>
          <w:rFonts w:ascii="Trebuchet MS" w:hAnsi="Trebuchet MS"/>
          <w:sz w:val="20"/>
        </w:rPr>
        <w:t xml:space="preserve"> </w:t>
      </w:r>
      <w:r w:rsidR="001505DA">
        <w:rPr>
          <w:rFonts w:ascii="Trebuchet MS" w:hAnsi="Trebuchet MS"/>
          <w:sz w:val="20"/>
        </w:rPr>
        <w:t xml:space="preserve">National Park Authority’s </w:t>
      </w:r>
      <w:r>
        <w:rPr>
          <w:rFonts w:ascii="Trebuchet MS" w:hAnsi="Trebuchet MS"/>
          <w:sz w:val="20"/>
        </w:rPr>
        <w:t>website</w:t>
      </w:r>
      <w:r w:rsidR="00D20A29">
        <w:rPr>
          <w:rFonts w:ascii="Trebuchet MS" w:hAnsi="Trebuchet MS"/>
          <w:sz w:val="20"/>
        </w:rPr>
        <w:t xml:space="preserve"> at</w:t>
      </w:r>
      <w:r w:rsidR="001505DA">
        <w:rPr>
          <w:rFonts w:ascii="Trebuchet MS" w:hAnsi="Trebuchet MS"/>
          <w:sz w:val="20"/>
        </w:rPr>
        <w:t>:</w:t>
      </w:r>
    </w:p>
    <w:p w14:paraId="7F8F9283" w14:textId="77777777" w:rsidR="00A6753F" w:rsidRDefault="00A6753F" w:rsidP="00A6753F">
      <w:pPr>
        <w:rPr>
          <w:sz w:val="22"/>
          <w:szCs w:val="22"/>
        </w:rPr>
      </w:pPr>
    </w:p>
    <w:p w14:paraId="41F4B981" w14:textId="77777777" w:rsidR="00A6753F" w:rsidRPr="00747FBE" w:rsidRDefault="000557FE" w:rsidP="00A6753F">
      <w:pPr>
        <w:rPr>
          <w:sz w:val="22"/>
          <w:szCs w:val="22"/>
        </w:rPr>
      </w:pPr>
      <w:hyperlink r:id="rId11" w:history="1">
        <w:r w:rsidR="00A6753F" w:rsidRPr="00747FBE">
          <w:rPr>
            <w:color w:val="0000FF"/>
            <w:sz w:val="22"/>
            <w:szCs w:val="22"/>
            <w:u w:val="single"/>
          </w:rPr>
          <w:t>Supplementary Planning Guidance (LD</w:t>
        </w:r>
        <w:r w:rsidR="00A6753F" w:rsidRPr="00747FBE">
          <w:rPr>
            <w:color w:val="0000FF"/>
            <w:sz w:val="22"/>
            <w:szCs w:val="22"/>
            <w:u w:val="single"/>
          </w:rPr>
          <w:t>P</w:t>
        </w:r>
        <w:r w:rsidR="00A6753F" w:rsidRPr="00747FBE">
          <w:rPr>
            <w:color w:val="0000FF"/>
            <w:sz w:val="22"/>
            <w:szCs w:val="22"/>
            <w:u w:val="single"/>
          </w:rPr>
          <w:t>2) - Pembrokeshire Coast National Park</w:t>
        </w:r>
      </w:hyperlink>
    </w:p>
    <w:p w14:paraId="647D64E6" w14:textId="77777777" w:rsidR="001505DA" w:rsidRDefault="001505DA" w:rsidP="00C611BC">
      <w:pPr>
        <w:jc w:val="both"/>
        <w:rPr>
          <w:rFonts w:ascii="Trebuchet MS" w:hAnsi="Trebuchet MS"/>
          <w:sz w:val="20"/>
        </w:rPr>
      </w:pPr>
    </w:p>
    <w:p w14:paraId="14A5D15D" w14:textId="77777777" w:rsidR="00A6753F" w:rsidRDefault="001505DA" w:rsidP="00C611BC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And the County Council’s website at</w:t>
      </w:r>
      <w:r w:rsidR="00A6753F">
        <w:rPr>
          <w:rFonts w:ascii="Trebuchet MS" w:hAnsi="Trebuchet MS"/>
          <w:sz w:val="20"/>
        </w:rPr>
        <w:t>:</w:t>
      </w:r>
    </w:p>
    <w:p w14:paraId="385D968E" w14:textId="77777777" w:rsidR="00A6753F" w:rsidRDefault="00A6753F" w:rsidP="00A6753F">
      <w:pPr>
        <w:rPr>
          <w:sz w:val="22"/>
          <w:szCs w:val="22"/>
        </w:rPr>
      </w:pPr>
    </w:p>
    <w:p w14:paraId="7965A125" w14:textId="77777777" w:rsidR="00A6753F" w:rsidRPr="00747FBE" w:rsidRDefault="000557FE" w:rsidP="00A6753F">
      <w:pPr>
        <w:rPr>
          <w:bCs w:val="0"/>
          <w:sz w:val="22"/>
          <w:szCs w:val="22"/>
        </w:rPr>
      </w:pPr>
      <w:hyperlink r:id="rId12" w:history="1">
        <w:r w:rsidR="00A6753F" w:rsidRPr="00747FBE">
          <w:rPr>
            <w:color w:val="0000FF"/>
            <w:sz w:val="22"/>
            <w:szCs w:val="22"/>
            <w:u w:val="single"/>
          </w:rPr>
          <w:t xml:space="preserve">LDP Supplementary Planning Guidance </w:t>
        </w:r>
        <w:r w:rsidR="00A6753F" w:rsidRPr="00747FBE">
          <w:rPr>
            <w:color w:val="0000FF"/>
            <w:sz w:val="22"/>
            <w:szCs w:val="22"/>
            <w:u w:val="single"/>
          </w:rPr>
          <w:t>-</w:t>
        </w:r>
        <w:r w:rsidR="00A6753F" w:rsidRPr="00747FBE">
          <w:rPr>
            <w:color w:val="0000FF"/>
            <w:sz w:val="22"/>
            <w:szCs w:val="22"/>
            <w:u w:val="single"/>
          </w:rPr>
          <w:t xml:space="preserve"> Pembrokeshire County Council</w:t>
        </w:r>
      </w:hyperlink>
    </w:p>
    <w:p w14:paraId="4AE4074B" w14:textId="77777777" w:rsidR="00C611BC" w:rsidRDefault="00C611BC" w:rsidP="00C611BC">
      <w:pPr>
        <w:jc w:val="both"/>
        <w:rPr>
          <w:rFonts w:ascii="Trebuchet MS" w:hAnsi="Trebuchet MS"/>
          <w:sz w:val="20"/>
        </w:rPr>
      </w:pPr>
    </w:p>
    <w:p w14:paraId="28F8B605" w14:textId="77777777" w:rsidR="00A6753F" w:rsidRDefault="00A6753F" w:rsidP="00C611BC">
      <w:pPr>
        <w:jc w:val="both"/>
        <w:rPr>
          <w:rFonts w:ascii="Trebuchet MS" w:hAnsi="Trebuchet MS"/>
          <w:sz w:val="20"/>
        </w:rPr>
      </w:pPr>
    </w:p>
    <w:p w14:paraId="686B9543" w14:textId="77777777" w:rsidR="00A6753F" w:rsidRDefault="00A6753F" w:rsidP="00C611BC">
      <w:pPr>
        <w:jc w:val="both"/>
        <w:rPr>
          <w:rFonts w:ascii="Trebuchet MS" w:hAnsi="Trebuchet MS"/>
          <w:sz w:val="20"/>
        </w:rPr>
      </w:pPr>
    </w:p>
    <w:sectPr w:rsidR="00A6753F" w:rsidSect="00F9395D">
      <w:footerReference w:type="default" r:id="rId13"/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5FC6" w14:textId="77777777" w:rsidR="00052DF8" w:rsidRDefault="00052DF8">
      <w:r>
        <w:separator/>
      </w:r>
    </w:p>
  </w:endnote>
  <w:endnote w:type="continuationSeparator" w:id="0">
    <w:p w14:paraId="7F91E923" w14:textId="77777777" w:rsidR="00052DF8" w:rsidRDefault="000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CDD3" w14:textId="19A907F5" w:rsidR="00052DF8" w:rsidRPr="00FC1913" w:rsidRDefault="00052DF8" w:rsidP="00FC1913">
    <w:pPr>
      <w:pStyle w:val="Footer"/>
      <w:jc w:val="center"/>
      <w:rPr>
        <w:sz w:val="20"/>
      </w:rPr>
    </w:pPr>
    <w:r w:rsidRPr="00FC1913">
      <w:rPr>
        <w:rStyle w:val="PageNumber"/>
        <w:sz w:val="20"/>
      </w:rPr>
      <w:fldChar w:fldCharType="begin"/>
    </w:r>
    <w:r w:rsidRPr="00FC1913">
      <w:rPr>
        <w:rStyle w:val="PageNumber"/>
        <w:sz w:val="20"/>
      </w:rPr>
      <w:instrText xml:space="preserve"> PAGE </w:instrText>
    </w:r>
    <w:r w:rsidRPr="00FC1913">
      <w:rPr>
        <w:rStyle w:val="PageNumber"/>
        <w:sz w:val="20"/>
      </w:rPr>
      <w:fldChar w:fldCharType="separate"/>
    </w:r>
    <w:r w:rsidR="00795691">
      <w:rPr>
        <w:rStyle w:val="PageNumber"/>
        <w:noProof/>
        <w:sz w:val="20"/>
      </w:rPr>
      <w:t>2</w:t>
    </w:r>
    <w:r w:rsidRPr="00FC191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DDC7" w14:textId="77777777" w:rsidR="00052DF8" w:rsidRDefault="00052DF8">
      <w:r>
        <w:separator/>
      </w:r>
    </w:p>
  </w:footnote>
  <w:footnote w:type="continuationSeparator" w:id="0">
    <w:p w14:paraId="43DC38BB" w14:textId="77777777" w:rsidR="00052DF8" w:rsidRDefault="000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20"/>
    <w:multiLevelType w:val="hybridMultilevel"/>
    <w:tmpl w:val="51BCE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2B1"/>
    <w:multiLevelType w:val="hybridMultilevel"/>
    <w:tmpl w:val="BBC053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48B"/>
    <w:multiLevelType w:val="hybridMultilevel"/>
    <w:tmpl w:val="24B8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09B9"/>
    <w:multiLevelType w:val="hybridMultilevel"/>
    <w:tmpl w:val="313E7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2F7A"/>
    <w:multiLevelType w:val="hybridMultilevel"/>
    <w:tmpl w:val="555401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967E2"/>
    <w:multiLevelType w:val="hybridMultilevel"/>
    <w:tmpl w:val="D20CAF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13650">
    <w:abstractNumId w:val="1"/>
  </w:num>
  <w:num w:numId="2" w16cid:durableId="1609194823">
    <w:abstractNumId w:val="4"/>
  </w:num>
  <w:num w:numId="3" w16cid:durableId="669017368">
    <w:abstractNumId w:val="2"/>
  </w:num>
  <w:num w:numId="4" w16cid:durableId="1798839749">
    <w:abstractNumId w:val="5"/>
  </w:num>
  <w:num w:numId="5" w16cid:durableId="1308974652">
    <w:abstractNumId w:val="3"/>
  </w:num>
  <w:num w:numId="6" w16cid:durableId="148288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A7"/>
    <w:rsid w:val="000174ED"/>
    <w:rsid w:val="00024566"/>
    <w:rsid w:val="00042B25"/>
    <w:rsid w:val="00052DF8"/>
    <w:rsid w:val="000557FE"/>
    <w:rsid w:val="000856C8"/>
    <w:rsid w:val="00090ACD"/>
    <w:rsid w:val="00090B6E"/>
    <w:rsid w:val="0010601B"/>
    <w:rsid w:val="00123E75"/>
    <w:rsid w:val="001362A7"/>
    <w:rsid w:val="001505DA"/>
    <w:rsid w:val="0015506D"/>
    <w:rsid w:val="00161C64"/>
    <w:rsid w:val="00167548"/>
    <w:rsid w:val="001946D4"/>
    <w:rsid w:val="00197BAB"/>
    <w:rsid w:val="001A63D0"/>
    <w:rsid w:val="001B7740"/>
    <w:rsid w:val="001D3A4C"/>
    <w:rsid w:val="001E2D76"/>
    <w:rsid w:val="0020567B"/>
    <w:rsid w:val="0022464C"/>
    <w:rsid w:val="00265951"/>
    <w:rsid w:val="00266FA7"/>
    <w:rsid w:val="002A4626"/>
    <w:rsid w:val="002C6CB5"/>
    <w:rsid w:val="002D437A"/>
    <w:rsid w:val="002E1C37"/>
    <w:rsid w:val="00304329"/>
    <w:rsid w:val="00346CC2"/>
    <w:rsid w:val="003629E9"/>
    <w:rsid w:val="003B377B"/>
    <w:rsid w:val="003E52A7"/>
    <w:rsid w:val="004024A6"/>
    <w:rsid w:val="00420196"/>
    <w:rsid w:val="00431192"/>
    <w:rsid w:val="00434A9E"/>
    <w:rsid w:val="00473FED"/>
    <w:rsid w:val="00475E4D"/>
    <w:rsid w:val="00482851"/>
    <w:rsid w:val="004971CA"/>
    <w:rsid w:val="004D33F3"/>
    <w:rsid w:val="004E2E75"/>
    <w:rsid w:val="004E75A8"/>
    <w:rsid w:val="00521156"/>
    <w:rsid w:val="00545C65"/>
    <w:rsid w:val="00565267"/>
    <w:rsid w:val="00571B1C"/>
    <w:rsid w:val="00581E72"/>
    <w:rsid w:val="00583627"/>
    <w:rsid w:val="00584CE1"/>
    <w:rsid w:val="00597381"/>
    <w:rsid w:val="005A1B2B"/>
    <w:rsid w:val="005D1AC9"/>
    <w:rsid w:val="005E2383"/>
    <w:rsid w:val="00621D12"/>
    <w:rsid w:val="00623FB2"/>
    <w:rsid w:val="00627039"/>
    <w:rsid w:val="00631E2C"/>
    <w:rsid w:val="006563C3"/>
    <w:rsid w:val="0067798E"/>
    <w:rsid w:val="006E0B0F"/>
    <w:rsid w:val="00711C52"/>
    <w:rsid w:val="007145CA"/>
    <w:rsid w:val="0074003A"/>
    <w:rsid w:val="00743C85"/>
    <w:rsid w:val="00795691"/>
    <w:rsid w:val="007A5A34"/>
    <w:rsid w:val="007B526E"/>
    <w:rsid w:val="007D0F29"/>
    <w:rsid w:val="007F69E9"/>
    <w:rsid w:val="00810BD3"/>
    <w:rsid w:val="008214ED"/>
    <w:rsid w:val="0087755D"/>
    <w:rsid w:val="008878B1"/>
    <w:rsid w:val="0089288C"/>
    <w:rsid w:val="00895EB3"/>
    <w:rsid w:val="008B2ACD"/>
    <w:rsid w:val="008B7C89"/>
    <w:rsid w:val="008C60F1"/>
    <w:rsid w:val="008D0242"/>
    <w:rsid w:val="008F65D0"/>
    <w:rsid w:val="009051EF"/>
    <w:rsid w:val="009430F6"/>
    <w:rsid w:val="00956957"/>
    <w:rsid w:val="00970784"/>
    <w:rsid w:val="00983DCE"/>
    <w:rsid w:val="009A65AF"/>
    <w:rsid w:val="009B19A6"/>
    <w:rsid w:val="009C65AB"/>
    <w:rsid w:val="009C7643"/>
    <w:rsid w:val="009E1E69"/>
    <w:rsid w:val="009E30B3"/>
    <w:rsid w:val="009E459C"/>
    <w:rsid w:val="009F0B84"/>
    <w:rsid w:val="00A4352C"/>
    <w:rsid w:val="00A52838"/>
    <w:rsid w:val="00A625F8"/>
    <w:rsid w:val="00A6753F"/>
    <w:rsid w:val="00AA127E"/>
    <w:rsid w:val="00AA144A"/>
    <w:rsid w:val="00AA41FC"/>
    <w:rsid w:val="00AB087C"/>
    <w:rsid w:val="00AE3F45"/>
    <w:rsid w:val="00B575EE"/>
    <w:rsid w:val="00B646FE"/>
    <w:rsid w:val="00B64A8B"/>
    <w:rsid w:val="00BE322F"/>
    <w:rsid w:val="00C026B7"/>
    <w:rsid w:val="00C52908"/>
    <w:rsid w:val="00C546EB"/>
    <w:rsid w:val="00C611BC"/>
    <w:rsid w:val="00C64BB5"/>
    <w:rsid w:val="00C72C97"/>
    <w:rsid w:val="00C81A91"/>
    <w:rsid w:val="00C867E1"/>
    <w:rsid w:val="00CB0855"/>
    <w:rsid w:val="00CB41B0"/>
    <w:rsid w:val="00CE4F2E"/>
    <w:rsid w:val="00D12AB7"/>
    <w:rsid w:val="00D20A29"/>
    <w:rsid w:val="00D35915"/>
    <w:rsid w:val="00D36536"/>
    <w:rsid w:val="00D8312D"/>
    <w:rsid w:val="00D90D39"/>
    <w:rsid w:val="00DB7CE7"/>
    <w:rsid w:val="00DD0AB5"/>
    <w:rsid w:val="00E12CF4"/>
    <w:rsid w:val="00E27F4C"/>
    <w:rsid w:val="00E40A79"/>
    <w:rsid w:val="00E86A78"/>
    <w:rsid w:val="00EA311E"/>
    <w:rsid w:val="00EA3E13"/>
    <w:rsid w:val="00ED757D"/>
    <w:rsid w:val="00F060F8"/>
    <w:rsid w:val="00F51A33"/>
    <w:rsid w:val="00F62BF9"/>
    <w:rsid w:val="00F65D37"/>
    <w:rsid w:val="00F803B3"/>
    <w:rsid w:val="00F9395D"/>
    <w:rsid w:val="00FC1913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A8CB8"/>
  <w15:docId w15:val="{53E71184-CF4D-41FE-93F9-B0FB94B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59C"/>
    <w:rPr>
      <w:rFonts w:ascii="Arial" w:hAnsi="Arial" w:cs="Arial"/>
      <w:bCs/>
      <w:kern w:val="22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9288C"/>
    <w:rPr>
      <w:rFonts w:ascii="Times New Roman" w:hAnsi="Times New Roman" w:cs="Times New Roman"/>
      <w:bCs w:val="0"/>
      <w:kern w:val="0"/>
      <w:szCs w:val="24"/>
      <w:lang w:val="en-US"/>
    </w:rPr>
  </w:style>
  <w:style w:type="paragraph" w:styleId="FootnoteText">
    <w:name w:val="footnote text"/>
    <w:basedOn w:val="Normal"/>
    <w:semiHidden/>
    <w:rsid w:val="0020567B"/>
    <w:rPr>
      <w:sz w:val="20"/>
    </w:rPr>
  </w:style>
  <w:style w:type="character" w:styleId="FootnoteReference">
    <w:name w:val="footnote reference"/>
    <w:basedOn w:val="DefaultParagraphFont"/>
    <w:semiHidden/>
    <w:rsid w:val="0020567B"/>
    <w:rPr>
      <w:vertAlign w:val="superscript"/>
    </w:rPr>
  </w:style>
  <w:style w:type="paragraph" w:styleId="Header">
    <w:name w:val="header"/>
    <w:basedOn w:val="Normal"/>
    <w:rsid w:val="00FC19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19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1913"/>
  </w:style>
  <w:style w:type="character" w:styleId="Hyperlink">
    <w:name w:val="Hyperlink"/>
    <w:basedOn w:val="DefaultParagraphFont"/>
    <w:rsid w:val="00123E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383"/>
    <w:rPr>
      <w:rFonts w:ascii="Tahoma" w:hAnsi="Tahoma" w:cs="Tahoma"/>
      <w:bCs/>
      <w:kern w:val="22"/>
      <w:sz w:val="16"/>
      <w:szCs w:val="16"/>
      <w:lang w:val="en-GB"/>
    </w:rPr>
  </w:style>
  <w:style w:type="character" w:styleId="FollowedHyperlink">
    <w:name w:val="FollowedHyperlink"/>
    <w:basedOn w:val="DefaultParagraphFont"/>
    <w:rsid w:val="005E2383"/>
    <w:rPr>
      <w:color w:val="800080"/>
      <w:u w:val="single"/>
    </w:rPr>
  </w:style>
  <w:style w:type="character" w:styleId="CommentReference">
    <w:name w:val="annotation reference"/>
    <w:basedOn w:val="DefaultParagraphFont"/>
    <w:rsid w:val="005A1B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B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1B2B"/>
    <w:rPr>
      <w:rFonts w:ascii="Arial" w:hAnsi="Arial" w:cs="Arial"/>
      <w:bCs/>
      <w:kern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A1B2B"/>
    <w:rPr>
      <w:b/>
    </w:rPr>
  </w:style>
  <w:style w:type="character" w:customStyle="1" w:styleId="CommentSubjectChar">
    <w:name w:val="Comment Subject Char"/>
    <w:basedOn w:val="CommentTextChar"/>
    <w:link w:val="CommentSubject"/>
    <w:rsid w:val="005A1B2B"/>
    <w:rPr>
      <w:rFonts w:ascii="Arial" w:hAnsi="Arial" w:cs="Arial"/>
      <w:b/>
      <w:bCs/>
      <w:kern w:val="22"/>
      <w:lang w:val="en-GB"/>
    </w:rPr>
  </w:style>
  <w:style w:type="paragraph" w:styleId="ListParagraph">
    <w:name w:val="List Paragraph"/>
    <w:basedOn w:val="Normal"/>
    <w:uiPriority w:val="34"/>
    <w:qFormat/>
    <w:rsid w:val="00ED75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brokeshirecoast.wales/wp-content/uploads/2021/04/20_21-SPG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mbrokeshire.gov.uk/adopted-local-development-plan/ldp-supplementary-planning-guid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mbrokeshirecoast.wales/planning/planning-policy/local-development-plan-2/supplementary-planning-guidance-ldp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genglish.pembrokeshire.gov.uk/ieListDocuments.aspx?CId=281&amp;MId=5506&amp;Ver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mbrokeshirecoast.wales/wp-content/uploads/2022/10/31_22-Report-of-Cons-SP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065F-94B2-4773-8F26-F21B2FFD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Report of Consultation</vt:lpstr>
      <vt:lpstr>Report of Consultation</vt:lpstr>
    </vt:vector>
  </TitlesOfParts>
  <Company>PCNPA</Company>
  <LinksUpToDate>false</LinksUpToDate>
  <CharactersWithSpaces>3536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http://www.pembrokeshirecoast.org.uk/default.asp?pid=183</vt:lpwstr>
      </vt:variant>
      <vt:variant>
        <vt:lpwstr/>
      </vt:variant>
      <vt:variant>
        <vt:i4>6946850</vt:i4>
      </vt:variant>
      <vt:variant>
        <vt:i4>3</vt:i4>
      </vt:variant>
      <vt:variant>
        <vt:i4>0</vt:i4>
      </vt:variant>
      <vt:variant>
        <vt:i4>5</vt:i4>
      </vt:variant>
      <vt:variant>
        <vt:lpwstr>http://www.pembrokeshirecoast.org.uk/Files/files/Committee/NPA/22_06_11/SPG AppD cont.pdf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http://www.pembrokeshirecoast.org.uk/Files/files/Committee/NPA/22_06_11/SPG.pdf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Consultation</dc:title>
  <dc:creator>Julie Kirk</dc:creator>
  <cp:lastModifiedBy>Martina Dunne</cp:lastModifiedBy>
  <cp:revision>3</cp:revision>
  <cp:lastPrinted>2011-07-08T08:12:00Z</cp:lastPrinted>
  <dcterms:created xsi:type="dcterms:W3CDTF">2023-01-30T08:42:00Z</dcterms:created>
  <dcterms:modified xsi:type="dcterms:W3CDTF">2023-01-30T09:08:00Z</dcterms:modified>
</cp:coreProperties>
</file>