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A5" w:rsidRDefault="008C6D37" w:rsidP="008D6963">
      <w:pPr>
        <w:pStyle w:val="BoldHeading"/>
      </w:pPr>
      <w:r>
        <w:t>Briefing Paper for Members Scrutiny Committee 12</w:t>
      </w:r>
      <w:r w:rsidRPr="008C6D37">
        <w:rPr>
          <w:vertAlign w:val="superscript"/>
        </w:rPr>
        <w:t>th</w:t>
      </w:r>
      <w:r>
        <w:t xml:space="preserve"> September 2012</w:t>
      </w:r>
    </w:p>
    <w:p w:rsidR="003A402C" w:rsidRDefault="003A402C">
      <w:pPr>
        <w:rPr>
          <w:szCs w:val="24"/>
        </w:rPr>
      </w:pPr>
    </w:p>
    <w:p w:rsidR="003A402C" w:rsidRDefault="003A402C" w:rsidP="002041E2">
      <w:pPr>
        <w:pStyle w:val="Heading1"/>
      </w:pPr>
      <w:r>
        <w:t>What is housing need?</w:t>
      </w:r>
    </w:p>
    <w:p w:rsidR="003A402C" w:rsidRDefault="003A402C">
      <w:pPr>
        <w:rPr>
          <w:szCs w:val="24"/>
        </w:rPr>
      </w:pPr>
    </w:p>
    <w:p w:rsidR="003A402C" w:rsidRDefault="003A402C">
      <w:pPr>
        <w:rPr>
          <w:szCs w:val="24"/>
        </w:rPr>
      </w:pPr>
    </w:p>
    <w:p w:rsidR="003A402C" w:rsidRPr="00C215C7" w:rsidRDefault="003A402C" w:rsidP="003A402C">
      <w:pPr>
        <w:pStyle w:val="BodyText"/>
        <w:numPr>
          <w:ilvl w:val="0"/>
          <w:numId w:val="3"/>
        </w:numPr>
        <w:ind w:hanging="578"/>
        <w:rPr>
          <w:sz w:val="24"/>
          <w:szCs w:val="24"/>
        </w:rPr>
      </w:pPr>
      <w:r w:rsidRPr="00C215C7">
        <w:rPr>
          <w:sz w:val="24"/>
          <w:szCs w:val="24"/>
        </w:rPr>
        <w:t>Need for affordable housing in the National Park can be considered through evidence emerging from:</w:t>
      </w:r>
    </w:p>
    <w:p w:rsidR="003A402C" w:rsidRPr="00C215C7" w:rsidRDefault="003A402C" w:rsidP="003A402C">
      <w:pPr>
        <w:pStyle w:val="BodyText"/>
        <w:numPr>
          <w:ilvl w:val="2"/>
          <w:numId w:val="1"/>
        </w:numPr>
        <w:rPr>
          <w:sz w:val="24"/>
          <w:szCs w:val="24"/>
        </w:rPr>
      </w:pPr>
      <w:r w:rsidRPr="00C215C7">
        <w:rPr>
          <w:sz w:val="24"/>
          <w:szCs w:val="24"/>
        </w:rPr>
        <w:t>The Local Housing Market Assessment</w:t>
      </w:r>
    </w:p>
    <w:p w:rsidR="003A402C" w:rsidRPr="00C215C7" w:rsidRDefault="003A402C" w:rsidP="003A402C">
      <w:pPr>
        <w:pStyle w:val="BodyText"/>
        <w:numPr>
          <w:ilvl w:val="2"/>
          <w:numId w:val="1"/>
        </w:numPr>
        <w:rPr>
          <w:sz w:val="24"/>
          <w:szCs w:val="24"/>
        </w:rPr>
      </w:pPr>
      <w:r w:rsidRPr="00C215C7">
        <w:rPr>
          <w:sz w:val="24"/>
          <w:szCs w:val="24"/>
        </w:rPr>
        <w:t>Housing Needs carried out the Rural Housing Enabler</w:t>
      </w:r>
    </w:p>
    <w:p w:rsidR="003A402C" w:rsidRPr="00C215C7" w:rsidRDefault="003A402C" w:rsidP="003A402C">
      <w:pPr>
        <w:pStyle w:val="BodyText"/>
        <w:numPr>
          <w:ilvl w:val="2"/>
          <w:numId w:val="1"/>
        </w:numPr>
        <w:rPr>
          <w:sz w:val="24"/>
          <w:szCs w:val="24"/>
        </w:rPr>
      </w:pPr>
      <w:r w:rsidRPr="00C215C7">
        <w:rPr>
          <w:sz w:val="24"/>
          <w:szCs w:val="24"/>
        </w:rPr>
        <w:t>Community Appraisals where appropriate</w:t>
      </w:r>
    </w:p>
    <w:p w:rsidR="003A402C" w:rsidRPr="00C215C7" w:rsidRDefault="003A402C" w:rsidP="003A402C">
      <w:pPr>
        <w:pStyle w:val="BodyText"/>
        <w:numPr>
          <w:ilvl w:val="2"/>
          <w:numId w:val="1"/>
        </w:numPr>
        <w:rPr>
          <w:sz w:val="24"/>
          <w:szCs w:val="24"/>
        </w:rPr>
      </w:pPr>
      <w:r w:rsidRPr="00C215C7">
        <w:rPr>
          <w:sz w:val="24"/>
          <w:szCs w:val="24"/>
        </w:rPr>
        <w:t>The Common Housing Register</w:t>
      </w:r>
    </w:p>
    <w:p w:rsidR="003A402C" w:rsidRPr="000B4818" w:rsidRDefault="00C215C7" w:rsidP="003A402C">
      <w:pPr>
        <w:numPr>
          <w:ilvl w:val="0"/>
          <w:numId w:val="3"/>
        </w:numPr>
        <w:autoSpaceDE w:val="0"/>
        <w:autoSpaceDN w:val="0"/>
        <w:adjustRightInd w:val="0"/>
        <w:ind w:hanging="720"/>
        <w:jc w:val="both"/>
        <w:rPr>
          <w:lang w:val="en-GB"/>
        </w:rPr>
      </w:pPr>
      <w:r>
        <w:rPr>
          <w:lang w:val="en-GB"/>
        </w:rPr>
        <w:t xml:space="preserve">The National Park Authority relies primarily on </w:t>
      </w:r>
      <w:r w:rsidR="003A402C" w:rsidRPr="000B4818">
        <w:rPr>
          <w:lang w:val="en-GB"/>
        </w:rPr>
        <w:t>the housing register in Pembrokeshire</w:t>
      </w:r>
      <w:r>
        <w:rPr>
          <w:lang w:val="en-GB"/>
        </w:rPr>
        <w:t xml:space="preserve"> as</w:t>
      </w:r>
      <w:r w:rsidR="003A402C" w:rsidRPr="000B4818">
        <w:rPr>
          <w:lang w:val="en-GB"/>
        </w:rPr>
        <w:t xml:space="preserve"> it is likely that it provides a good indication of the current need for social housing at a community level.</w:t>
      </w:r>
    </w:p>
    <w:p w:rsidR="003A402C" w:rsidRDefault="003A402C" w:rsidP="003A402C">
      <w:pPr>
        <w:rPr>
          <w:b/>
        </w:rPr>
      </w:pPr>
    </w:p>
    <w:p w:rsidR="003A402C" w:rsidRDefault="003A402C" w:rsidP="003A402C">
      <w:pPr>
        <w:numPr>
          <w:ilvl w:val="0"/>
          <w:numId w:val="3"/>
        </w:numPr>
        <w:ind w:hanging="720"/>
        <w:jc w:val="both"/>
      </w:pPr>
      <w:r w:rsidRPr="00165F2A">
        <w:t xml:space="preserve">The </w:t>
      </w:r>
      <w:r>
        <w:t xml:space="preserve">figures below are taken from the Common Housing </w:t>
      </w:r>
      <w:r w:rsidRPr="0096142F">
        <w:t>Register</w:t>
      </w:r>
      <w:r w:rsidRPr="00165F2A">
        <w:t>.</w:t>
      </w:r>
      <w:r>
        <w:t xml:space="preserve"> </w:t>
      </w:r>
    </w:p>
    <w:p w:rsidR="00865E3D" w:rsidRDefault="00865E3D" w:rsidP="00865E3D">
      <w:pPr>
        <w:pStyle w:val="ListParagraph"/>
      </w:pPr>
    </w:p>
    <w:p w:rsidR="00865E3D" w:rsidRDefault="00865E3D" w:rsidP="003A402C">
      <w:pPr>
        <w:numPr>
          <w:ilvl w:val="0"/>
          <w:numId w:val="3"/>
        </w:numPr>
        <w:ind w:hanging="720"/>
        <w:jc w:val="both"/>
      </w:pPr>
      <w:r>
        <w:t>More detail can be found in the Authority’s affordable housing supplementary planning guidance.</w:t>
      </w:r>
      <w:r>
        <w:rPr>
          <w:rStyle w:val="FootnoteReference"/>
        </w:rPr>
        <w:footnoteReference w:id="1"/>
      </w:r>
      <w:r>
        <w:t xml:space="preserve"> </w:t>
      </w:r>
    </w:p>
    <w:p w:rsidR="003A402C" w:rsidRDefault="003A402C" w:rsidP="003A402C">
      <w:pPr>
        <w:jc w:val="both"/>
      </w:pPr>
    </w:p>
    <w:p w:rsidR="003A402C" w:rsidRDefault="003A402C" w:rsidP="003A402C"/>
    <w:p w:rsidR="003A402C" w:rsidRDefault="003A402C" w:rsidP="003A402C">
      <w:r>
        <w:t>2010</w:t>
      </w:r>
      <w:r w:rsidR="002041E2">
        <w:t xml:space="preserve"> </w:t>
      </w:r>
      <w:r w:rsidR="00516CEF">
        <w:t>Figures</w:t>
      </w:r>
    </w:p>
    <w:p w:rsidR="002041E2" w:rsidRDefault="002041E2" w:rsidP="003A402C"/>
    <w:tbl>
      <w:tblPr>
        <w:tblW w:w="79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45"/>
        <w:gridCol w:w="960"/>
        <w:gridCol w:w="960"/>
        <w:gridCol w:w="960"/>
        <w:gridCol w:w="960"/>
        <w:gridCol w:w="843"/>
      </w:tblGrid>
      <w:tr w:rsidR="003A402C" w:rsidRPr="002C7A01" w:rsidTr="003A402C">
        <w:trPr>
          <w:trHeight w:val="300"/>
        </w:trPr>
        <w:tc>
          <w:tcPr>
            <w:tcW w:w="2415" w:type="dxa"/>
            <w:shd w:val="clear" w:color="auto" w:fill="7030A0"/>
            <w:noWrap/>
            <w:vAlign w:val="bottom"/>
            <w:hideMark/>
          </w:tcPr>
          <w:p w:rsidR="003A402C" w:rsidRPr="002C7A01" w:rsidRDefault="003A402C" w:rsidP="003A402C">
            <w:pPr>
              <w:rPr>
                <w:color w:val="000000"/>
                <w:sz w:val="22"/>
                <w:lang w:val="en-GB" w:eastAsia="en-GB"/>
              </w:rPr>
            </w:pPr>
            <w:r w:rsidRPr="009F0B2F">
              <w:rPr>
                <w:b/>
                <w:bCs/>
                <w:color w:val="FFFFFF"/>
                <w:sz w:val="22"/>
              </w:rPr>
              <w:t>Net housing need</w:t>
            </w:r>
          </w:p>
        </w:tc>
        <w:tc>
          <w:tcPr>
            <w:tcW w:w="4685" w:type="dxa"/>
            <w:gridSpan w:val="5"/>
            <w:shd w:val="clear" w:color="auto" w:fill="7030A0"/>
            <w:noWrap/>
            <w:vAlign w:val="bottom"/>
            <w:hideMark/>
          </w:tcPr>
          <w:p w:rsidR="003A402C" w:rsidRPr="002C7A01" w:rsidRDefault="003A402C" w:rsidP="003A402C">
            <w:pPr>
              <w:jc w:val="center"/>
              <w:rPr>
                <w:color w:val="000000"/>
                <w:sz w:val="22"/>
                <w:lang w:val="en-GB" w:eastAsia="en-GB"/>
              </w:rPr>
            </w:pPr>
            <w:r w:rsidRPr="009F0B2F">
              <w:rPr>
                <w:color w:val="FFFFFF"/>
                <w:sz w:val="18"/>
                <w:szCs w:val="18"/>
              </w:rPr>
              <w:t>Number of bedrooms</w:t>
            </w:r>
          </w:p>
        </w:tc>
        <w:tc>
          <w:tcPr>
            <w:tcW w:w="843" w:type="dxa"/>
            <w:shd w:val="clear" w:color="auto" w:fill="7030A0"/>
            <w:noWrap/>
            <w:vAlign w:val="bottom"/>
            <w:hideMark/>
          </w:tcPr>
          <w:p w:rsidR="003A402C" w:rsidRPr="002C7A01" w:rsidRDefault="003A402C" w:rsidP="003A402C">
            <w:pPr>
              <w:jc w:val="center"/>
              <w:rPr>
                <w:color w:val="000000"/>
                <w:sz w:val="22"/>
                <w:lang w:val="en-GB" w:eastAsia="en-GB"/>
              </w:rPr>
            </w:pPr>
          </w:p>
        </w:tc>
      </w:tr>
      <w:tr w:rsidR="003A402C" w:rsidRPr="002C7A01" w:rsidTr="003A402C">
        <w:trPr>
          <w:trHeight w:val="300"/>
        </w:trPr>
        <w:tc>
          <w:tcPr>
            <w:tcW w:w="2415" w:type="dxa"/>
            <w:shd w:val="clear" w:color="auto" w:fill="7030A0"/>
            <w:noWrap/>
            <w:vAlign w:val="bottom"/>
            <w:hideMark/>
          </w:tcPr>
          <w:p w:rsidR="003A402C" w:rsidRPr="002C7A01" w:rsidRDefault="003A402C" w:rsidP="003A402C">
            <w:pPr>
              <w:rPr>
                <w:color w:val="000000"/>
                <w:sz w:val="22"/>
                <w:lang w:val="en-GB" w:eastAsia="en-GB"/>
              </w:rPr>
            </w:pPr>
            <w:r w:rsidRPr="002C7A01">
              <w:rPr>
                <w:color w:val="000000"/>
                <w:sz w:val="22"/>
                <w:lang w:val="en-GB" w:eastAsia="en-GB"/>
              </w:rPr>
              <w:t>Area</w:t>
            </w:r>
          </w:p>
        </w:tc>
        <w:tc>
          <w:tcPr>
            <w:tcW w:w="845" w:type="dxa"/>
            <w:shd w:val="clear" w:color="auto" w:fill="7030A0"/>
            <w:noWrap/>
            <w:vAlign w:val="bottom"/>
            <w:hideMark/>
          </w:tcPr>
          <w:p w:rsidR="003A402C" w:rsidRPr="002C7A01" w:rsidRDefault="003A402C" w:rsidP="003A402C">
            <w:pPr>
              <w:jc w:val="center"/>
              <w:rPr>
                <w:color w:val="000000"/>
                <w:sz w:val="22"/>
                <w:lang w:val="en-GB" w:eastAsia="en-GB"/>
              </w:rPr>
            </w:pPr>
            <w:r w:rsidRPr="002C7A01">
              <w:rPr>
                <w:color w:val="000000"/>
                <w:sz w:val="22"/>
                <w:lang w:val="en-GB" w:eastAsia="en-GB"/>
              </w:rPr>
              <w:t>1</w:t>
            </w:r>
          </w:p>
        </w:tc>
        <w:tc>
          <w:tcPr>
            <w:tcW w:w="960" w:type="dxa"/>
            <w:shd w:val="clear" w:color="auto" w:fill="7030A0"/>
            <w:noWrap/>
            <w:vAlign w:val="bottom"/>
            <w:hideMark/>
          </w:tcPr>
          <w:p w:rsidR="003A402C" w:rsidRPr="002C7A01" w:rsidRDefault="003A402C" w:rsidP="003A402C">
            <w:pPr>
              <w:jc w:val="center"/>
              <w:rPr>
                <w:color w:val="000000"/>
                <w:sz w:val="22"/>
                <w:lang w:val="en-GB" w:eastAsia="en-GB"/>
              </w:rPr>
            </w:pPr>
            <w:r w:rsidRPr="002C7A01">
              <w:rPr>
                <w:color w:val="000000"/>
                <w:sz w:val="22"/>
                <w:lang w:val="en-GB" w:eastAsia="en-GB"/>
              </w:rPr>
              <w:t>2</w:t>
            </w:r>
          </w:p>
        </w:tc>
        <w:tc>
          <w:tcPr>
            <w:tcW w:w="960" w:type="dxa"/>
            <w:shd w:val="clear" w:color="auto" w:fill="7030A0"/>
            <w:noWrap/>
            <w:vAlign w:val="bottom"/>
            <w:hideMark/>
          </w:tcPr>
          <w:p w:rsidR="003A402C" w:rsidRPr="002C7A01" w:rsidRDefault="003A402C" w:rsidP="003A402C">
            <w:pPr>
              <w:jc w:val="center"/>
              <w:rPr>
                <w:color w:val="000000"/>
                <w:sz w:val="22"/>
                <w:lang w:val="en-GB" w:eastAsia="en-GB"/>
              </w:rPr>
            </w:pPr>
            <w:r w:rsidRPr="002C7A01">
              <w:rPr>
                <w:color w:val="000000"/>
                <w:sz w:val="22"/>
                <w:lang w:val="en-GB" w:eastAsia="en-GB"/>
              </w:rPr>
              <w:t>3</w:t>
            </w:r>
          </w:p>
        </w:tc>
        <w:tc>
          <w:tcPr>
            <w:tcW w:w="960" w:type="dxa"/>
            <w:shd w:val="clear" w:color="auto" w:fill="7030A0"/>
            <w:noWrap/>
            <w:vAlign w:val="bottom"/>
            <w:hideMark/>
          </w:tcPr>
          <w:p w:rsidR="003A402C" w:rsidRPr="002C7A01" w:rsidRDefault="003A402C" w:rsidP="003A402C">
            <w:pPr>
              <w:jc w:val="center"/>
              <w:rPr>
                <w:color w:val="000000"/>
                <w:sz w:val="22"/>
                <w:lang w:val="en-GB" w:eastAsia="en-GB"/>
              </w:rPr>
            </w:pPr>
            <w:r w:rsidRPr="002C7A01">
              <w:rPr>
                <w:color w:val="000000"/>
                <w:sz w:val="22"/>
                <w:lang w:val="en-GB" w:eastAsia="en-GB"/>
              </w:rPr>
              <w:t>4</w:t>
            </w:r>
          </w:p>
        </w:tc>
        <w:tc>
          <w:tcPr>
            <w:tcW w:w="960" w:type="dxa"/>
            <w:shd w:val="clear" w:color="auto" w:fill="7030A0"/>
            <w:noWrap/>
            <w:vAlign w:val="bottom"/>
            <w:hideMark/>
          </w:tcPr>
          <w:p w:rsidR="003A402C" w:rsidRPr="002C7A01" w:rsidRDefault="003A402C" w:rsidP="003A402C">
            <w:pPr>
              <w:jc w:val="center"/>
              <w:rPr>
                <w:color w:val="000000"/>
                <w:sz w:val="22"/>
                <w:lang w:val="en-GB" w:eastAsia="en-GB"/>
              </w:rPr>
            </w:pPr>
            <w:r w:rsidRPr="002C7A01">
              <w:rPr>
                <w:color w:val="000000"/>
                <w:sz w:val="22"/>
                <w:lang w:val="en-GB" w:eastAsia="en-GB"/>
              </w:rPr>
              <w:t>5</w:t>
            </w:r>
          </w:p>
        </w:tc>
        <w:tc>
          <w:tcPr>
            <w:tcW w:w="843" w:type="dxa"/>
            <w:shd w:val="clear" w:color="auto" w:fill="7030A0"/>
            <w:noWrap/>
            <w:vAlign w:val="bottom"/>
            <w:hideMark/>
          </w:tcPr>
          <w:p w:rsidR="003A402C" w:rsidRPr="002C7A01" w:rsidRDefault="003A402C" w:rsidP="003A402C">
            <w:pPr>
              <w:jc w:val="right"/>
              <w:rPr>
                <w:color w:val="000000"/>
                <w:sz w:val="22"/>
                <w:lang w:val="en-GB" w:eastAsia="en-GB"/>
              </w:rPr>
            </w:pPr>
            <w:r w:rsidRPr="002C7A01">
              <w:rPr>
                <w:color w:val="000000"/>
                <w:sz w:val="22"/>
                <w:lang w:val="en-GB" w:eastAsia="en-GB"/>
              </w:rPr>
              <w:t>Total</w:t>
            </w:r>
            <w:r>
              <w:rPr>
                <w:color w:val="000000"/>
                <w:sz w:val="22"/>
                <w:lang w:val="en-GB" w:eastAsia="en-GB"/>
              </w:rPr>
              <w:t>s</w:t>
            </w:r>
          </w:p>
        </w:tc>
      </w:tr>
      <w:tr w:rsidR="003A402C" w:rsidRPr="002C7A01" w:rsidTr="003A402C">
        <w:trPr>
          <w:trHeight w:val="300"/>
        </w:trPr>
        <w:tc>
          <w:tcPr>
            <w:tcW w:w="2415" w:type="dxa"/>
            <w:shd w:val="clear" w:color="auto" w:fill="auto"/>
            <w:vAlign w:val="bottom"/>
            <w:hideMark/>
          </w:tcPr>
          <w:p w:rsidR="003A402C" w:rsidRPr="002C7A01" w:rsidRDefault="003A402C" w:rsidP="003A402C">
            <w:pPr>
              <w:rPr>
                <w:color w:val="000000"/>
                <w:sz w:val="22"/>
                <w:lang w:val="en-GB" w:eastAsia="en-GB"/>
              </w:rPr>
            </w:pPr>
            <w:r w:rsidRPr="009F0B2F">
              <w:rPr>
                <w:b/>
                <w:bCs/>
                <w:color w:val="000000"/>
              </w:rPr>
              <w:t>Not in National Park</w:t>
            </w:r>
          </w:p>
        </w:tc>
        <w:tc>
          <w:tcPr>
            <w:tcW w:w="845"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866</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874</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286</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58</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10</w:t>
            </w:r>
          </w:p>
        </w:tc>
        <w:tc>
          <w:tcPr>
            <w:tcW w:w="843" w:type="dxa"/>
            <w:shd w:val="clear" w:color="auto" w:fill="auto"/>
            <w:noWrap/>
            <w:vAlign w:val="bottom"/>
            <w:hideMark/>
          </w:tcPr>
          <w:p w:rsidR="003A402C" w:rsidRPr="002C7A01" w:rsidRDefault="003A402C" w:rsidP="003A402C">
            <w:pPr>
              <w:jc w:val="right"/>
              <w:rPr>
                <w:rFonts w:ascii="Calibri" w:hAnsi="Calibri"/>
                <w:color w:val="000000"/>
                <w:sz w:val="22"/>
                <w:lang w:val="en-GB" w:eastAsia="en-GB"/>
              </w:rPr>
            </w:pPr>
            <w:r w:rsidRPr="002C7A01">
              <w:rPr>
                <w:rFonts w:ascii="Calibri" w:hAnsi="Calibri"/>
                <w:color w:val="000000"/>
                <w:sz w:val="22"/>
                <w:lang w:val="en-GB" w:eastAsia="en-GB"/>
              </w:rPr>
              <w:t>2094</w:t>
            </w:r>
          </w:p>
        </w:tc>
      </w:tr>
      <w:tr w:rsidR="003A402C" w:rsidRPr="002C7A01" w:rsidTr="003A402C">
        <w:trPr>
          <w:trHeight w:val="300"/>
        </w:trPr>
        <w:tc>
          <w:tcPr>
            <w:tcW w:w="2415" w:type="dxa"/>
            <w:shd w:val="clear" w:color="auto" w:fill="auto"/>
            <w:vAlign w:val="bottom"/>
            <w:hideMark/>
          </w:tcPr>
          <w:p w:rsidR="003A402C" w:rsidRPr="002C7A01" w:rsidRDefault="003A402C" w:rsidP="003A402C">
            <w:pPr>
              <w:rPr>
                <w:color w:val="000000"/>
                <w:sz w:val="22"/>
                <w:lang w:val="en-GB" w:eastAsia="en-GB"/>
              </w:rPr>
            </w:pPr>
            <w:r w:rsidRPr="009F0B2F">
              <w:rPr>
                <w:b/>
                <w:bCs/>
                <w:color w:val="000000"/>
              </w:rPr>
              <w:t>Partly in National Park</w:t>
            </w:r>
          </w:p>
        </w:tc>
        <w:tc>
          <w:tcPr>
            <w:tcW w:w="845"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24</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26</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16</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2</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0</w:t>
            </w:r>
          </w:p>
        </w:tc>
        <w:tc>
          <w:tcPr>
            <w:tcW w:w="843" w:type="dxa"/>
            <w:shd w:val="clear" w:color="auto" w:fill="auto"/>
            <w:noWrap/>
            <w:vAlign w:val="bottom"/>
            <w:hideMark/>
          </w:tcPr>
          <w:p w:rsidR="003A402C" w:rsidRPr="002C7A01" w:rsidRDefault="003A402C" w:rsidP="003A402C">
            <w:pPr>
              <w:jc w:val="right"/>
              <w:rPr>
                <w:rFonts w:ascii="Calibri" w:hAnsi="Calibri"/>
                <w:color w:val="000000"/>
                <w:sz w:val="22"/>
                <w:lang w:val="en-GB" w:eastAsia="en-GB"/>
              </w:rPr>
            </w:pPr>
            <w:r w:rsidRPr="002C7A01">
              <w:rPr>
                <w:rFonts w:ascii="Calibri" w:hAnsi="Calibri"/>
                <w:color w:val="000000"/>
                <w:sz w:val="22"/>
                <w:lang w:val="en-GB" w:eastAsia="en-GB"/>
              </w:rPr>
              <w:t>68</w:t>
            </w:r>
          </w:p>
        </w:tc>
      </w:tr>
      <w:tr w:rsidR="003A402C" w:rsidRPr="002C7A01" w:rsidTr="003A402C">
        <w:trPr>
          <w:trHeight w:val="300"/>
        </w:trPr>
        <w:tc>
          <w:tcPr>
            <w:tcW w:w="2415" w:type="dxa"/>
            <w:shd w:val="clear" w:color="auto" w:fill="auto"/>
            <w:vAlign w:val="bottom"/>
            <w:hideMark/>
          </w:tcPr>
          <w:p w:rsidR="003A402C" w:rsidRPr="002C7A01" w:rsidRDefault="003A402C" w:rsidP="003A402C">
            <w:pPr>
              <w:rPr>
                <w:color w:val="000000"/>
                <w:sz w:val="22"/>
                <w:lang w:val="en-GB" w:eastAsia="en-GB"/>
              </w:rPr>
            </w:pPr>
            <w:r w:rsidRPr="009F0B2F">
              <w:rPr>
                <w:b/>
                <w:bCs/>
                <w:color w:val="000000"/>
              </w:rPr>
              <w:t>In National Park</w:t>
            </w:r>
          </w:p>
        </w:tc>
        <w:tc>
          <w:tcPr>
            <w:tcW w:w="845"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162</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134</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63</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4</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w:t>
            </w:r>
          </w:p>
        </w:tc>
        <w:tc>
          <w:tcPr>
            <w:tcW w:w="843" w:type="dxa"/>
            <w:shd w:val="clear" w:color="auto" w:fill="auto"/>
            <w:noWrap/>
            <w:vAlign w:val="bottom"/>
            <w:hideMark/>
          </w:tcPr>
          <w:p w:rsidR="003A402C" w:rsidRPr="002C7A01" w:rsidRDefault="003A402C" w:rsidP="003A402C">
            <w:pPr>
              <w:jc w:val="right"/>
              <w:rPr>
                <w:rFonts w:ascii="Calibri" w:hAnsi="Calibri"/>
                <w:color w:val="000000"/>
                <w:sz w:val="22"/>
                <w:lang w:val="en-GB" w:eastAsia="en-GB"/>
              </w:rPr>
            </w:pPr>
            <w:r w:rsidRPr="002C7A01">
              <w:rPr>
                <w:rFonts w:ascii="Calibri" w:hAnsi="Calibri"/>
                <w:color w:val="000000"/>
                <w:sz w:val="22"/>
                <w:lang w:val="en-GB" w:eastAsia="en-GB"/>
              </w:rPr>
              <w:t>364</w:t>
            </w:r>
          </w:p>
        </w:tc>
      </w:tr>
      <w:tr w:rsidR="003A402C" w:rsidRPr="002C7A01" w:rsidTr="003A402C">
        <w:trPr>
          <w:trHeight w:val="300"/>
        </w:trPr>
        <w:tc>
          <w:tcPr>
            <w:tcW w:w="2415" w:type="dxa"/>
            <w:shd w:val="clear" w:color="auto" w:fill="auto"/>
            <w:vAlign w:val="bottom"/>
            <w:hideMark/>
          </w:tcPr>
          <w:p w:rsidR="003A402C" w:rsidRPr="002C7A01" w:rsidRDefault="003A402C" w:rsidP="003A402C">
            <w:pPr>
              <w:rPr>
                <w:color w:val="000000"/>
                <w:sz w:val="22"/>
                <w:lang w:val="en-GB" w:eastAsia="en-GB"/>
              </w:rPr>
            </w:pPr>
            <w:r w:rsidRPr="002C7A01">
              <w:rPr>
                <w:color w:val="000000"/>
                <w:sz w:val="22"/>
                <w:lang w:val="en-GB" w:eastAsia="en-GB"/>
              </w:rPr>
              <w:t>Totals</w:t>
            </w:r>
          </w:p>
        </w:tc>
        <w:tc>
          <w:tcPr>
            <w:tcW w:w="845"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1052</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1034</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365</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64</w:t>
            </w:r>
          </w:p>
        </w:tc>
        <w:tc>
          <w:tcPr>
            <w:tcW w:w="960" w:type="dxa"/>
            <w:shd w:val="clear" w:color="auto" w:fill="auto"/>
            <w:noWrap/>
            <w:vAlign w:val="bottom"/>
            <w:hideMark/>
          </w:tcPr>
          <w:p w:rsidR="003A402C" w:rsidRPr="002C7A01" w:rsidRDefault="003A402C" w:rsidP="003A402C">
            <w:pPr>
              <w:jc w:val="center"/>
              <w:rPr>
                <w:rFonts w:ascii="Calibri" w:hAnsi="Calibri"/>
                <w:color w:val="000000"/>
                <w:sz w:val="22"/>
                <w:lang w:val="en-GB" w:eastAsia="en-GB"/>
              </w:rPr>
            </w:pPr>
            <w:r w:rsidRPr="002C7A01">
              <w:rPr>
                <w:rFonts w:ascii="Calibri" w:hAnsi="Calibri"/>
                <w:color w:val="000000"/>
                <w:sz w:val="22"/>
                <w:lang w:val="en-GB" w:eastAsia="en-GB"/>
              </w:rPr>
              <w:t>11</w:t>
            </w:r>
          </w:p>
        </w:tc>
        <w:tc>
          <w:tcPr>
            <w:tcW w:w="843" w:type="dxa"/>
            <w:shd w:val="clear" w:color="auto" w:fill="auto"/>
            <w:noWrap/>
            <w:vAlign w:val="bottom"/>
            <w:hideMark/>
          </w:tcPr>
          <w:p w:rsidR="003A402C" w:rsidRPr="002C7A01" w:rsidRDefault="003A402C" w:rsidP="003A402C">
            <w:pPr>
              <w:jc w:val="right"/>
              <w:rPr>
                <w:rFonts w:ascii="Calibri" w:hAnsi="Calibri"/>
                <w:color w:val="000000"/>
                <w:sz w:val="22"/>
                <w:lang w:val="en-GB" w:eastAsia="en-GB"/>
              </w:rPr>
            </w:pPr>
            <w:r w:rsidRPr="002C7A01">
              <w:rPr>
                <w:rFonts w:ascii="Calibri" w:hAnsi="Calibri"/>
                <w:color w:val="000000"/>
                <w:sz w:val="22"/>
                <w:lang w:val="en-GB" w:eastAsia="en-GB"/>
              </w:rPr>
              <w:t>2526</w:t>
            </w:r>
          </w:p>
        </w:tc>
      </w:tr>
    </w:tbl>
    <w:p w:rsidR="003A402C" w:rsidRDefault="003A402C">
      <w:pPr>
        <w:rPr>
          <w:szCs w:val="24"/>
        </w:rPr>
      </w:pPr>
    </w:p>
    <w:p w:rsidR="002041E2" w:rsidRDefault="002041E2">
      <w:pPr>
        <w:rPr>
          <w:szCs w:val="24"/>
        </w:rPr>
      </w:pPr>
    </w:p>
    <w:p w:rsidR="002041E2" w:rsidRDefault="002041E2">
      <w:pPr>
        <w:rPr>
          <w:szCs w:val="24"/>
        </w:rPr>
      </w:pPr>
      <w:r>
        <w:rPr>
          <w:szCs w:val="24"/>
        </w:rPr>
        <w:br w:type="page"/>
      </w:r>
    </w:p>
    <w:p w:rsidR="002041E2" w:rsidRDefault="002041E2" w:rsidP="002041E2">
      <w:pPr>
        <w:pStyle w:val="Heading1"/>
      </w:pPr>
      <w:r>
        <w:lastRenderedPageBreak/>
        <w:t>How are viability assessments done?</w:t>
      </w:r>
    </w:p>
    <w:p w:rsidR="00516CEF" w:rsidRDefault="00516CEF" w:rsidP="00516CEF">
      <w:pPr>
        <w:rPr>
          <w:b/>
        </w:rPr>
      </w:pPr>
    </w:p>
    <w:p w:rsidR="00516CEF" w:rsidRDefault="00516CEF" w:rsidP="00516CEF">
      <w:pPr>
        <w:numPr>
          <w:ilvl w:val="0"/>
          <w:numId w:val="3"/>
        </w:numPr>
        <w:jc w:val="both"/>
      </w:pPr>
      <w:r>
        <w:t xml:space="preserve"> </w:t>
      </w:r>
      <w:r w:rsidR="002041E2">
        <w:t>Affordable housing requirements will add cost to a housing development,</w:t>
      </w:r>
      <w:r>
        <w:t xml:space="preserve"> </w:t>
      </w:r>
      <w:r w:rsidR="002041E2">
        <w:t>though it will be partly recovered either through the sale of completed units,</w:t>
      </w:r>
      <w:r>
        <w:t xml:space="preserve"> </w:t>
      </w:r>
      <w:r w:rsidR="002041E2">
        <w:t>or through rent accrued from tenants. The requirements will also lower the</w:t>
      </w:r>
      <w:r>
        <w:t xml:space="preserve"> </w:t>
      </w:r>
      <w:r w:rsidR="002041E2">
        <w:t>value of land.</w:t>
      </w:r>
      <w:r>
        <w:t xml:space="preserve">  </w:t>
      </w:r>
    </w:p>
    <w:p w:rsidR="00516CEF" w:rsidRDefault="00516CEF" w:rsidP="00516CEF">
      <w:pPr>
        <w:ind w:left="66"/>
        <w:jc w:val="both"/>
      </w:pPr>
    </w:p>
    <w:p w:rsidR="00516CEF" w:rsidRDefault="002041E2" w:rsidP="00516CEF">
      <w:pPr>
        <w:numPr>
          <w:ilvl w:val="0"/>
          <w:numId w:val="3"/>
        </w:numPr>
        <w:jc w:val="both"/>
      </w:pPr>
      <w:r>
        <w:t>The viability of housing requirements on allocated sites has been</w:t>
      </w:r>
      <w:r w:rsidR="00516CEF">
        <w:t xml:space="preserve"> </w:t>
      </w:r>
      <w:r>
        <w:t>assessed using the 3-Dragons Development Appraisal Toolkit, which allows</w:t>
      </w:r>
      <w:r w:rsidR="00516CEF">
        <w:t xml:space="preserve"> </w:t>
      </w:r>
      <w:r>
        <w:t>a reasonable amount to be paid to a landowner for the land, and for</w:t>
      </w:r>
      <w:r w:rsidR="00516CEF">
        <w:t xml:space="preserve"> </w:t>
      </w:r>
      <w:r>
        <w:t>developers and contractors to make a profit</w:t>
      </w:r>
      <w:r w:rsidR="00516CEF">
        <w:t>.</w:t>
      </w:r>
      <w:r>
        <w:t xml:space="preserve"> </w:t>
      </w:r>
    </w:p>
    <w:p w:rsidR="00516CEF" w:rsidRDefault="00516CEF" w:rsidP="00516CEF">
      <w:pPr>
        <w:pStyle w:val="ListParagraph"/>
      </w:pPr>
    </w:p>
    <w:p w:rsidR="00865E3D" w:rsidRDefault="002041E2" w:rsidP="00516CEF">
      <w:pPr>
        <w:numPr>
          <w:ilvl w:val="0"/>
          <w:numId w:val="3"/>
        </w:numPr>
        <w:jc w:val="both"/>
      </w:pPr>
      <w:r>
        <w:t>However while</w:t>
      </w:r>
      <w:r w:rsidR="00516CEF">
        <w:t xml:space="preserve"> </w:t>
      </w:r>
      <w:r>
        <w:t xml:space="preserve">most allocated sites are on </w:t>
      </w:r>
      <w:proofErr w:type="spellStart"/>
      <w:proofErr w:type="gramStart"/>
      <w:r>
        <w:t>greenfield</w:t>
      </w:r>
      <w:proofErr w:type="spellEnd"/>
      <w:proofErr w:type="gramEnd"/>
      <w:r>
        <w:t xml:space="preserve"> land, it is </w:t>
      </w:r>
      <w:proofErr w:type="spellStart"/>
      <w:r>
        <w:t>recognised</w:t>
      </w:r>
      <w:proofErr w:type="spellEnd"/>
      <w:r>
        <w:t xml:space="preserve"> that some sites</w:t>
      </w:r>
      <w:r w:rsidR="00516CEF">
        <w:t xml:space="preserve"> </w:t>
      </w:r>
      <w:r>
        <w:t xml:space="preserve">may have constraints or extraordinary costs. </w:t>
      </w:r>
      <w:r w:rsidR="00516CEF">
        <w:t xml:space="preserve">We </w:t>
      </w:r>
      <w:r>
        <w:t>negotiate with developers on the level of affordable housing, where viability</w:t>
      </w:r>
      <w:r w:rsidR="00516CEF">
        <w:t xml:space="preserve"> </w:t>
      </w:r>
      <w:r>
        <w:t>is an issue, and will take into account extraordinary costs and existing land</w:t>
      </w:r>
      <w:r w:rsidR="00516CEF">
        <w:t xml:space="preserve"> </w:t>
      </w:r>
      <w:r>
        <w:t>values</w:t>
      </w:r>
      <w:r w:rsidR="00865E3D">
        <w:t>. W</w:t>
      </w:r>
      <w:r>
        <w:t>here a proposal cannot deliver the level of affordable housing</w:t>
      </w:r>
      <w:r w:rsidR="00516CEF">
        <w:t xml:space="preserve"> </w:t>
      </w:r>
      <w:r>
        <w:t>required by the development plan policies a planning application may be</w:t>
      </w:r>
      <w:r w:rsidR="00516CEF">
        <w:t xml:space="preserve"> </w:t>
      </w:r>
      <w:r>
        <w:t>refused.</w:t>
      </w:r>
      <w:r w:rsidR="00865E3D">
        <w:t xml:space="preserve">  </w:t>
      </w:r>
    </w:p>
    <w:p w:rsidR="00865E3D" w:rsidRDefault="00865E3D" w:rsidP="00865E3D">
      <w:pPr>
        <w:pStyle w:val="ListParagraph"/>
      </w:pPr>
    </w:p>
    <w:p w:rsidR="00865E3D" w:rsidRDefault="002041E2" w:rsidP="00516CEF">
      <w:pPr>
        <w:numPr>
          <w:ilvl w:val="0"/>
          <w:numId w:val="3"/>
        </w:numPr>
        <w:jc w:val="both"/>
      </w:pPr>
      <w:r>
        <w:t>Where an applicant advises that the cost of providing affordable housing</w:t>
      </w:r>
      <w:r w:rsidR="00865E3D">
        <w:t xml:space="preserve"> </w:t>
      </w:r>
      <w:r>
        <w:t>means that the site will not be viable to develop they will be expected to</w:t>
      </w:r>
      <w:r w:rsidR="00865E3D">
        <w:t xml:space="preserve"> </w:t>
      </w:r>
      <w:r>
        <w:t xml:space="preserve">prove this providing a viability appraisal. </w:t>
      </w:r>
      <w:r w:rsidR="00865E3D">
        <w:t>The Authority’s supplementary planning guidance</w:t>
      </w:r>
      <w:r w:rsidR="00865E3D">
        <w:rPr>
          <w:rStyle w:val="FootnoteReference"/>
        </w:rPr>
        <w:footnoteReference w:id="2"/>
      </w:r>
      <w:r>
        <w:t xml:space="preserve"> sets out the minimum</w:t>
      </w:r>
      <w:r w:rsidR="00865E3D">
        <w:t xml:space="preserve"> </w:t>
      </w:r>
      <w:r>
        <w:t>requirements for an appraisal.</w:t>
      </w:r>
      <w:r w:rsidR="00865E3D">
        <w:t xml:space="preserve">  </w:t>
      </w:r>
    </w:p>
    <w:p w:rsidR="00865E3D" w:rsidRDefault="00865E3D" w:rsidP="00865E3D">
      <w:pPr>
        <w:pStyle w:val="ListParagraph"/>
      </w:pPr>
    </w:p>
    <w:p w:rsidR="002041E2" w:rsidRPr="002041E2" w:rsidRDefault="00865E3D" w:rsidP="00516CEF">
      <w:pPr>
        <w:numPr>
          <w:ilvl w:val="0"/>
          <w:numId w:val="3"/>
        </w:numPr>
        <w:jc w:val="both"/>
      </w:pPr>
      <w:r>
        <w:t>I</w:t>
      </w:r>
      <w:r w:rsidR="002041E2">
        <w:t>f the Authority is minded to approve a proposal with lower percentages of</w:t>
      </w:r>
      <w:r>
        <w:t xml:space="preserve"> </w:t>
      </w:r>
      <w:r w:rsidR="002041E2">
        <w:t xml:space="preserve">affordable housing than set in </w:t>
      </w:r>
      <w:r>
        <w:t>P</w:t>
      </w:r>
      <w:r w:rsidR="002041E2">
        <w:t>olicy 45, because of poor market conditions</w:t>
      </w:r>
      <w:r>
        <w:t xml:space="preserve"> </w:t>
      </w:r>
      <w:r w:rsidR="002041E2">
        <w:t>a short-term permission may be granted.</w:t>
      </w:r>
    </w:p>
    <w:p w:rsidR="00A51E0C" w:rsidRDefault="00A51E0C">
      <w:pPr>
        <w:rPr>
          <w:szCs w:val="24"/>
        </w:rPr>
      </w:pPr>
      <w:r>
        <w:rPr>
          <w:szCs w:val="24"/>
        </w:rPr>
        <w:br w:type="page"/>
      </w:r>
    </w:p>
    <w:p w:rsidR="00986B3F" w:rsidRDefault="00986B3F" w:rsidP="00986B3F">
      <w:pPr>
        <w:pStyle w:val="Heading1"/>
      </w:pPr>
      <w:r>
        <w:lastRenderedPageBreak/>
        <w:t>What is a S1O6?</w:t>
      </w:r>
    </w:p>
    <w:p w:rsidR="002041E2" w:rsidRDefault="002041E2" w:rsidP="00516CEF">
      <w:pPr>
        <w:jc w:val="both"/>
        <w:rPr>
          <w:szCs w:val="24"/>
        </w:rPr>
      </w:pPr>
    </w:p>
    <w:p w:rsidR="0032549C" w:rsidRDefault="008121AA" w:rsidP="0032549C">
      <w:pPr>
        <w:pStyle w:val="ListParagraph"/>
        <w:numPr>
          <w:ilvl w:val="0"/>
          <w:numId w:val="3"/>
        </w:numPr>
        <w:ind w:left="360"/>
        <w:jc w:val="both"/>
        <w:rPr>
          <w:szCs w:val="24"/>
        </w:rPr>
      </w:pPr>
      <w:r w:rsidRPr="0032549C">
        <w:rPr>
          <w:szCs w:val="24"/>
        </w:rPr>
        <w:t xml:space="preserve">Section 106 (S106) of the Town and Country Planning Act 1990 allows a local planning authority (LPA) to enter into a legally-binding agreement or planning obligation with a landowner in association with the granting of planning permission. The obligation is termed a Section 106 Agreement. </w:t>
      </w:r>
    </w:p>
    <w:p w:rsidR="0032549C" w:rsidRPr="0032549C" w:rsidRDefault="0032549C" w:rsidP="0032549C">
      <w:pPr>
        <w:jc w:val="both"/>
        <w:rPr>
          <w:szCs w:val="24"/>
        </w:rPr>
      </w:pPr>
    </w:p>
    <w:p w:rsidR="008121AA" w:rsidRDefault="008121AA" w:rsidP="0032549C">
      <w:pPr>
        <w:pStyle w:val="ListParagraph"/>
        <w:numPr>
          <w:ilvl w:val="0"/>
          <w:numId w:val="3"/>
        </w:numPr>
        <w:ind w:left="360"/>
        <w:jc w:val="both"/>
        <w:rPr>
          <w:szCs w:val="24"/>
        </w:rPr>
      </w:pPr>
      <w:r w:rsidRPr="0032549C">
        <w:rPr>
          <w:szCs w:val="24"/>
        </w:rPr>
        <w:t xml:space="preserve">These agreements are a way of delivering or addressing matters that are necessary to make a development acceptable in planning terms. They are increasingly used to support the provision of services and infrastructure, such as highways, recreational facilities, education, health and affordable housing. </w:t>
      </w:r>
      <w:r w:rsidR="0032549C" w:rsidRPr="0032549C">
        <w:rPr>
          <w:szCs w:val="24"/>
        </w:rPr>
        <w:t xml:space="preserve"> </w:t>
      </w:r>
      <w:r w:rsidRPr="0032549C">
        <w:rPr>
          <w:szCs w:val="24"/>
        </w:rPr>
        <w:t xml:space="preserve">The scope of such agreements is laid out </w:t>
      </w:r>
      <w:r w:rsidR="0032549C" w:rsidRPr="0032549C">
        <w:rPr>
          <w:szCs w:val="24"/>
        </w:rPr>
        <w:t>in Circular 13/97</w:t>
      </w:r>
      <w:r w:rsidRPr="0032549C">
        <w:rPr>
          <w:szCs w:val="24"/>
        </w:rPr>
        <w:t xml:space="preserve">. </w:t>
      </w:r>
      <w:r w:rsidR="0032549C">
        <w:rPr>
          <w:rStyle w:val="FootnoteReference"/>
          <w:szCs w:val="24"/>
        </w:rPr>
        <w:footnoteReference w:id="3"/>
      </w:r>
      <w:r w:rsidRPr="0032549C">
        <w:rPr>
          <w:szCs w:val="24"/>
        </w:rPr>
        <w:t>Matters agreed as part of a S106 must be:</w:t>
      </w:r>
    </w:p>
    <w:p w:rsidR="0032549C" w:rsidRPr="0032549C" w:rsidRDefault="0032549C" w:rsidP="0032549C">
      <w:pPr>
        <w:pStyle w:val="ListParagraph"/>
        <w:rPr>
          <w:szCs w:val="24"/>
        </w:rPr>
      </w:pPr>
    </w:p>
    <w:p w:rsidR="008121AA" w:rsidRPr="008121AA" w:rsidRDefault="008121AA" w:rsidP="0032549C">
      <w:pPr>
        <w:pStyle w:val="ListParagraph"/>
        <w:numPr>
          <w:ilvl w:val="0"/>
          <w:numId w:val="7"/>
        </w:numPr>
        <w:jc w:val="both"/>
        <w:rPr>
          <w:szCs w:val="24"/>
        </w:rPr>
      </w:pPr>
      <w:r w:rsidRPr="008121AA">
        <w:rPr>
          <w:szCs w:val="24"/>
        </w:rPr>
        <w:t xml:space="preserve"> relevant to planning </w:t>
      </w:r>
    </w:p>
    <w:p w:rsidR="008121AA" w:rsidRPr="008121AA" w:rsidRDefault="008121AA" w:rsidP="0032549C">
      <w:pPr>
        <w:pStyle w:val="ListParagraph"/>
        <w:numPr>
          <w:ilvl w:val="0"/>
          <w:numId w:val="7"/>
        </w:numPr>
        <w:jc w:val="both"/>
        <w:rPr>
          <w:szCs w:val="24"/>
        </w:rPr>
      </w:pPr>
      <w:r w:rsidRPr="008121AA">
        <w:rPr>
          <w:szCs w:val="24"/>
        </w:rPr>
        <w:t xml:space="preserve">necessary to make the proposed development acceptable in planning terms </w:t>
      </w:r>
    </w:p>
    <w:p w:rsidR="008121AA" w:rsidRPr="008121AA" w:rsidRDefault="008121AA" w:rsidP="0032549C">
      <w:pPr>
        <w:pStyle w:val="ListParagraph"/>
        <w:numPr>
          <w:ilvl w:val="0"/>
          <w:numId w:val="7"/>
        </w:numPr>
        <w:jc w:val="both"/>
        <w:rPr>
          <w:szCs w:val="24"/>
        </w:rPr>
      </w:pPr>
      <w:r w:rsidRPr="008121AA">
        <w:rPr>
          <w:szCs w:val="24"/>
        </w:rPr>
        <w:t xml:space="preserve">directly related to the proposed development </w:t>
      </w:r>
    </w:p>
    <w:p w:rsidR="008121AA" w:rsidRPr="008121AA" w:rsidRDefault="008121AA" w:rsidP="0032549C">
      <w:pPr>
        <w:pStyle w:val="ListParagraph"/>
        <w:numPr>
          <w:ilvl w:val="0"/>
          <w:numId w:val="7"/>
        </w:numPr>
        <w:jc w:val="both"/>
        <w:rPr>
          <w:szCs w:val="24"/>
        </w:rPr>
      </w:pPr>
      <w:r w:rsidRPr="008121AA">
        <w:rPr>
          <w:szCs w:val="24"/>
        </w:rPr>
        <w:t xml:space="preserve">fairly and reasonably related in scale and kind to the proposed development  </w:t>
      </w:r>
    </w:p>
    <w:p w:rsidR="008121AA" w:rsidRPr="008121AA" w:rsidRDefault="008121AA" w:rsidP="0032549C">
      <w:pPr>
        <w:pStyle w:val="ListParagraph"/>
        <w:numPr>
          <w:ilvl w:val="0"/>
          <w:numId w:val="7"/>
        </w:numPr>
        <w:jc w:val="both"/>
        <w:rPr>
          <w:szCs w:val="24"/>
        </w:rPr>
      </w:pPr>
      <w:proofErr w:type="gramStart"/>
      <w:r w:rsidRPr="008121AA">
        <w:rPr>
          <w:szCs w:val="24"/>
        </w:rPr>
        <w:t>reasonable</w:t>
      </w:r>
      <w:proofErr w:type="gramEnd"/>
      <w:r w:rsidRPr="008121AA">
        <w:rPr>
          <w:szCs w:val="24"/>
        </w:rPr>
        <w:t xml:space="preserve"> in all other respects.</w:t>
      </w:r>
    </w:p>
    <w:p w:rsidR="008121AA" w:rsidRPr="0032549C" w:rsidRDefault="008121AA" w:rsidP="0032549C">
      <w:pPr>
        <w:ind w:left="360"/>
        <w:jc w:val="both"/>
        <w:rPr>
          <w:szCs w:val="24"/>
        </w:rPr>
      </w:pPr>
      <w:r w:rsidRPr="0032549C">
        <w:rPr>
          <w:szCs w:val="24"/>
        </w:rPr>
        <w:t xml:space="preserve"> </w:t>
      </w:r>
    </w:p>
    <w:p w:rsidR="00986B3F" w:rsidRDefault="008121AA" w:rsidP="008121AA">
      <w:pPr>
        <w:pStyle w:val="ListParagraph"/>
        <w:numPr>
          <w:ilvl w:val="0"/>
          <w:numId w:val="3"/>
        </w:numPr>
        <w:jc w:val="both"/>
        <w:rPr>
          <w:szCs w:val="24"/>
        </w:rPr>
      </w:pPr>
      <w:r w:rsidRPr="008121AA">
        <w:rPr>
          <w:szCs w:val="24"/>
        </w:rPr>
        <w:t xml:space="preserve">A </w:t>
      </w:r>
      <w:r w:rsidR="0032549C">
        <w:rPr>
          <w:szCs w:val="24"/>
        </w:rPr>
        <w:t>planning authority’s</w:t>
      </w:r>
      <w:r w:rsidRPr="008121AA">
        <w:rPr>
          <w:szCs w:val="24"/>
        </w:rPr>
        <w:t xml:space="preserve"> approach to securing benefits through the S106 process should be grounded in evidence-based policy.</w:t>
      </w:r>
      <w:r w:rsidR="0032549C">
        <w:rPr>
          <w:szCs w:val="24"/>
        </w:rPr>
        <w:t xml:space="preserve">  The Authority uses S106 agreements for </w:t>
      </w:r>
      <w:r w:rsidR="00B746E6">
        <w:rPr>
          <w:szCs w:val="24"/>
        </w:rPr>
        <w:t>affordable housing in conjunction with Policy 45</w:t>
      </w:r>
      <w:r w:rsidR="00B746E6">
        <w:rPr>
          <w:rStyle w:val="FootnoteReference"/>
          <w:szCs w:val="24"/>
        </w:rPr>
        <w:footnoteReference w:id="4"/>
      </w:r>
      <w:r w:rsidR="00B746E6">
        <w:rPr>
          <w:szCs w:val="24"/>
        </w:rPr>
        <w:t xml:space="preserve"> of the Local Development Plan and for community facilities in conjunction with Policy 48.</w:t>
      </w:r>
      <w:r w:rsidR="00B746E6">
        <w:rPr>
          <w:rStyle w:val="FootnoteReference"/>
          <w:szCs w:val="24"/>
        </w:rPr>
        <w:footnoteReference w:id="5"/>
      </w:r>
      <w:r w:rsidR="00B746E6">
        <w:rPr>
          <w:szCs w:val="24"/>
        </w:rPr>
        <w:t xml:space="preserve"> Supplementary Planning Guidance has been prepared on both topic areas. </w:t>
      </w:r>
      <w:r w:rsidR="00F7474E">
        <w:rPr>
          <w:szCs w:val="24"/>
        </w:rPr>
        <w:t>A link to the affordable housing guidance has already been provided.  This is the link to the planning obligations guidance.</w:t>
      </w:r>
      <w:r w:rsidR="00F7474E">
        <w:rPr>
          <w:rStyle w:val="FootnoteReference"/>
          <w:szCs w:val="24"/>
        </w:rPr>
        <w:footnoteReference w:id="6"/>
      </w:r>
    </w:p>
    <w:p w:rsidR="008D6963" w:rsidRDefault="008D6963">
      <w:pPr>
        <w:rPr>
          <w:szCs w:val="24"/>
        </w:rPr>
      </w:pPr>
      <w:r>
        <w:rPr>
          <w:szCs w:val="24"/>
        </w:rPr>
        <w:br w:type="page"/>
      </w:r>
    </w:p>
    <w:p w:rsidR="008D6963" w:rsidRDefault="008D6963" w:rsidP="008D6963">
      <w:pPr>
        <w:pStyle w:val="Heading1"/>
      </w:pPr>
      <w:r>
        <w:lastRenderedPageBreak/>
        <w:t>What is the affordable housing contribution?</w:t>
      </w:r>
    </w:p>
    <w:p w:rsidR="008D6963" w:rsidRPr="008D6963" w:rsidRDefault="008D6963" w:rsidP="008D6963"/>
    <w:p w:rsidR="00552818" w:rsidRPr="00552818" w:rsidRDefault="008D6963" w:rsidP="00552818">
      <w:pPr>
        <w:pStyle w:val="ListParagraph"/>
        <w:numPr>
          <w:ilvl w:val="0"/>
          <w:numId w:val="3"/>
        </w:numPr>
        <w:jc w:val="both"/>
        <w:rPr>
          <w:b/>
        </w:rPr>
      </w:pPr>
      <w:r w:rsidRPr="00552818">
        <w:rPr>
          <w:szCs w:val="24"/>
        </w:rPr>
        <w:t xml:space="preserve">Policy 45 d) seeks a commuted sum to help with the delivery of affordable housing on housing developments below the threshold of 2 units (i.e. on proposals for single residential units.  </w:t>
      </w:r>
    </w:p>
    <w:p w:rsidR="00552818" w:rsidRPr="00552818" w:rsidRDefault="00552818" w:rsidP="00552818">
      <w:pPr>
        <w:ind w:left="66"/>
        <w:jc w:val="both"/>
        <w:rPr>
          <w:b/>
        </w:rPr>
      </w:pPr>
    </w:p>
    <w:p w:rsidR="00552818" w:rsidRDefault="00552818" w:rsidP="00552818">
      <w:pPr>
        <w:numPr>
          <w:ilvl w:val="0"/>
          <w:numId w:val="3"/>
        </w:numPr>
        <w:jc w:val="both"/>
        <w:rPr>
          <w:rFonts w:eastAsia="Batang"/>
        </w:rPr>
      </w:pPr>
      <w:r>
        <w:rPr>
          <w:rFonts w:eastAsia="Batang"/>
        </w:rPr>
        <w:t>An</w:t>
      </w:r>
      <w:r w:rsidRPr="006D7717">
        <w:rPr>
          <w:rFonts w:eastAsia="Batang"/>
        </w:rPr>
        <w:t xml:space="preserve"> affordable housing contribution of £250 per square </w:t>
      </w:r>
      <w:proofErr w:type="spellStart"/>
      <w:r w:rsidRPr="006D7717">
        <w:rPr>
          <w:rFonts w:eastAsia="Batang"/>
        </w:rPr>
        <w:t>metre</w:t>
      </w:r>
      <w:proofErr w:type="spellEnd"/>
      <w:r w:rsidRPr="006D7717">
        <w:rPr>
          <w:rFonts w:eastAsia="Batang"/>
        </w:rPr>
        <w:t xml:space="preserve"> of the proposed dwelling </w:t>
      </w:r>
      <w:r>
        <w:rPr>
          <w:rFonts w:eastAsia="Batang"/>
        </w:rPr>
        <w:t>is required</w:t>
      </w:r>
      <w:r w:rsidRPr="006D7717">
        <w:rPr>
          <w:rFonts w:eastAsia="Batang"/>
        </w:rPr>
        <w:t>.</w:t>
      </w:r>
      <w:r>
        <w:rPr>
          <w:rStyle w:val="FootnoteReference"/>
          <w:rFonts w:eastAsia="Batang"/>
        </w:rPr>
        <w:footnoteReference w:id="7"/>
      </w:r>
      <w:r w:rsidRPr="006D7717">
        <w:rPr>
          <w:rFonts w:eastAsia="Batang"/>
        </w:rPr>
        <w:t xml:space="preserve">  To ease transition it is proposed that the contribution has a phased introduction.  From 1st October 2011 the contribution will be £100 per square </w:t>
      </w:r>
      <w:proofErr w:type="spellStart"/>
      <w:r w:rsidRPr="006D7717">
        <w:rPr>
          <w:rFonts w:eastAsia="Batang"/>
        </w:rPr>
        <w:t>metre</w:t>
      </w:r>
      <w:proofErr w:type="spellEnd"/>
      <w:r w:rsidRPr="006D7717">
        <w:rPr>
          <w:rFonts w:eastAsia="Batang"/>
        </w:rPr>
        <w:t xml:space="preserve">. This will rise to £150 on the 1st October 2012 and from the 1st October 2013 it will be £250. </w:t>
      </w:r>
      <w:r w:rsidRPr="00CF081A">
        <w:rPr>
          <w:rFonts w:eastAsia="Batang"/>
        </w:rPr>
        <w:t xml:space="preserve">The figure uses Acceptable Cost Guideline figures and will require updating </w:t>
      </w:r>
      <w:r>
        <w:rPr>
          <w:rFonts w:eastAsia="Batang"/>
        </w:rPr>
        <w:t xml:space="preserve">after 2013 </w:t>
      </w:r>
      <w:r w:rsidRPr="00CF081A">
        <w:rPr>
          <w:rFonts w:eastAsia="Batang"/>
        </w:rPr>
        <w:t>as new Acceptable Cost Guideline figures are published.</w:t>
      </w:r>
      <w:r>
        <w:rPr>
          <w:rFonts w:eastAsia="Batang"/>
        </w:rPr>
        <w:t xml:space="preserve">  T</w:t>
      </w:r>
      <w:r w:rsidRPr="009F0362">
        <w:rPr>
          <w:rFonts w:eastAsia="Batang"/>
        </w:rPr>
        <w:t>he approach in principle is considered viable</w:t>
      </w:r>
      <w:r>
        <w:rPr>
          <w:rFonts w:eastAsia="Batang"/>
        </w:rPr>
        <w:t xml:space="preserve"> and</w:t>
      </w:r>
      <w:r w:rsidRPr="009F0362">
        <w:rPr>
          <w:rFonts w:eastAsia="Batang"/>
        </w:rPr>
        <w:t xml:space="preserve"> would be comparable with that taken on larger sites.</w:t>
      </w:r>
      <w:r>
        <w:rPr>
          <w:rFonts w:eastAsia="Batang"/>
        </w:rPr>
        <w:t xml:space="preserve"> </w:t>
      </w:r>
    </w:p>
    <w:p w:rsidR="00552818" w:rsidRDefault="00552818" w:rsidP="00552818">
      <w:pPr>
        <w:jc w:val="both"/>
        <w:rPr>
          <w:rFonts w:eastAsia="Batang"/>
        </w:rPr>
      </w:pPr>
    </w:p>
    <w:p w:rsidR="00552818" w:rsidRDefault="00552818" w:rsidP="00552818">
      <w:pPr>
        <w:numPr>
          <w:ilvl w:val="0"/>
          <w:numId w:val="3"/>
        </w:numPr>
        <w:jc w:val="both"/>
        <w:rPr>
          <w:rFonts w:eastAsia="Batang"/>
        </w:rPr>
      </w:pPr>
      <w:r w:rsidRPr="006D7717">
        <w:rPr>
          <w:rFonts w:eastAsia="Batang"/>
        </w:rPr>
        <w:t xml:space="preserve">The contribution will be required as a condition of the permission granted and will be required to be provided prior to first occupancy. </w:t>
      </w:r>
    </w:p>
    <w:p w:rsidR="00552818" w:rsidRDefault="00552818" w:rsidP="00552818">
      <w:pPr>
        <w:ind w:left="564"/>
        <w:jc w:val="both"/>
        <w:rPr>
          <w:rFonts w:eastAsia="Batang"/>
        </w:rPr>
      </w:pPr>
    </w:p>
    <w:p w:rsidR="00552818" w:rsidRPr="00552818" w:rsidRDefault="00552818" w:rsidP="00552818">
      <w:pPr>
        <w:pStyle w:val="ListParagraph"/>
        <w:numPr>
          <w:ilvl w:val="0"/>
          <w:numId w:val="3"/>
        </w:numPr>
        <w:jc w:val="both"/>
        <w:rPr>
          <w:rFonts w:eastAsia="Batang"/>
        </w:rPr>
      </w:pPr>
      <w:r w:rsidRPr="00552818">
        <w:rPr>
          <w:rFonts w:eastAsia="Batang"/>
          <w:b/>
        </w:rPr>
        <w:t>Exemptions:</w:t>
      </w:r>
      <w:r w:rsidRPr="00552818">
        <w:rPr>
          <w:rFonts w:eastAsia="Batang"/>
        </w:rPr>
        <w:t xml:space="preserve"> The following exemptions will apply:</w:t>
      </w:r>
    </w:p>
    <w:p w:rsidR="00552818" w:rsidRDefault="00552818" w:rsidP="00552818">
      <w:pPr>
        <w:ind w:left="564"/>
        <w:jc w:val="both"/>
        <w:rPr>
          <w:rFonts w:eastAsia="Batang"/>
        </w:rPr>
      </w:pPr>
    </w:p>
    <w:p w:rsidR="00552818" w:rsidRPr="00CC3059" w:rsidRDefault="00552818" w:rsidP="00552818">
      <w:pPr>
        <w:numPr>
          <w:ilvl w:val="0"/>
          <w:numId w:val="10"/>
        </w:numPr>
        <w:tabs>
          <w:tab w:val="num" w:pos="1440"/>
        </w:tabs>
        <w:jc w:val="both"/>
        <w:rPr>
          <w:rFonts w:eastAsia="Batang" w:cs="Batang"/>
        </w:rPr>
      </w:pPr>
      <w:r w:rsidRPr="00CC3059">
        <w:rPr>
          <w:rFonts w:eastAsia="Batang"/>
        </w:rPr>
        <w:t xml:space="preserve">Affordable housing for local people as defined in the supplementary planning guidance </w:t>
      </w:r>
      <w:r>
        <w:rPr>
          <w:rFonts w:eastAsia="Batang"/>
        </w:rPr>
        <w:t xml:space="preserve"> </w:t>
      </w:r>
    </w:p>
    <w:p w:rsidR="00552818" w:rsidRDefault="00552818" w:rsidP="00552818">
      <w:pPr>
        <w:numPr>
          <w:ilvl w:val="0"/>
          <w:numId w:val="10"/>
        </w:numPr>
        <w:tabs>
          <w:tab w:val="num" w:pos="1440"/>
        </w:tabs>
        <w:jc w:val="both"/>
        <w:rPr>
          <w:rFonts w:eastAsia="Batang"/>
        </w:rPr>
      </w:pPr>
      <w:r w:rsidRPr="00CC3059">
        <w:rPr>
          <w:rFonts w:eastAsia="Batang"/>
        </w:rPr>
        <w:t>Replacement dwellings</w:t>
      </w:r>
      <w:r>
        <w:rPr>
          <w:rFonts w:eastAsia="Batang"/>
        </w:rPr>
        <w:t xml:space="preserve"> </w:t>
      </w:r>
    </w:p>
    <w:p w:rsidR="00552818" w:rsidRDefault="00552818" w:rsidP="00552818">
      <w:pPr>
        <w:numPr>
          <w:ilvl w:val="0"/>
          <w:numId w:val="10"/>
        </w:numPr>
        <w:tabs>
          <w:tab w:val="num" w:pos="1440"/>
        </w:tabs>
        <w:jc w:val="both"/>
        <w:rPr>
          <w:rFonts w:eastAsia="Batang"/>
        </w:rPr>
      </w:pPr>
      <w:r w:rsidRPr="00CC3059">
        <w:rPr>
          <w:rFonts w:eastAsia="Batang"/>
        </w:rPr>
        <w:t>Accommodation limited in its occupation by condition or legal agreement, for example as an agricultural worker or managers dwelling or self catering accommodation.</w:t>
      </w:r>
      <w:r w:rsidRPr="00CC3059">
        <w:rPr>
          <w:rStyle w:val="FootnoteReference"/>
        </w:rPr>
        <w:t xml:space="preserve"> </w:t>
      </w:r>
      <w:r>
        <w:rPr>
          <w:rStyle w:val="FootnoteReference"/>
        </w:rPr>
        <w:footnoteReference w:id="8"/>
      </w:r>
      <w:r>
        <w:t xml:space="preserve"> </w:t>
      </w:r>
      <w:r w:rsidRPr="00CC3059">
        <w:rPr>
          <w:rFonts w:eastAsia="Batang"/>
        </w:rPr>
        <w:t xml:space="preserve"> </w:t>
      </w:r>
    </w:p>
    <w:p w:rsidR="00552818" w:rsidRPr="00CC3059" w:rsidRDefault="00552818" w:rsidP="00552818">
      <w:pPr>
        <w:ind w:left="564"/>
        <w:jc w:val="both"/>
        <w:rPr>
          <w:rFonts w:eastAsia="Batang"/>
        </w:rPr>
      </w:pPr>
    </w:p>
    <w:p w:rsidR="00552818" w:rsidRPr="00552818" w:rsidRDefault="00552818" w:rsidP="00552818">
      <w:pPr>
        <w:pStyle w:val="ListParagraph"/>
        <w:numPr>
          <w:ilvl w:val="0"/>
          <w:numId w:val="3"/>
        </w:numPr>
        <w:jc w:val="both"/>
        <w:rPr>
          <w:rFonts w:eastAsia="Batang"/>
        </w:rPr>
      </w:pPr>
      <w:r w:rsidRPr="00552818">
        <w:rPr>
          <w:rFonts w:eastAsia="Batang"/>
        </w:rPr>
        <w:t>If removal of an occupancy condition is sought, and the Authority is minded to allow full residential use, then this will only be approved if it is replaced by an appropriate affordable housing contribution condition.</w:t>
      </w:r>
    </w:p>
    <w:p w:rsidR="00552818" w:rsidRDefault="00552818" w:rsidP="00552818">
      <w:pPr>
        <w:ind w:left="564"/>
        <w:jc w:val="both"/>
        <w:rPr>
          <w:rFonts w:eastAsia="Batang"/>
        </w:rPr>
      </w:pPr>
    </w:p>
    <w:p w:rsidR="00552818" w:rsidRDefault="00552818" w:rsidP="00552818">
      <w:pPr>
        <w:numPr>
          <w:ilvl w:val="0"/>
          <w:numId w:val="3"/>
        </w:numPr>
        <w:jc w:val="both"/>
        <w:rPr>
          <w:rFonts w:eastAsia="Batang"/>
        </w:rPr>
      </w:pPr>
      <w:r w:rsidRPr="00CC00F5">
        <w:rPr>
          <w:rFonts w:eastAsia="Batang"/>
          <w:b/>
        </w:rPr>
        <w:t>Spend:</w:t>
      </w:r>
      <w:r>
        <w:rPr>
          <w:rFonts w:eastAsia="Batang"/>
        </w:rPr>
        <w:t xml:space="preserve"> </w:t>
      </w:r>
      <w:r w:rsidRPr="00CC00F5">
        <w:rPr>
          <w:rFonts w:eastAsia="Batang"/>
        </w:rPr>
        <w:t xml:space="preserve">In the first instance spend </w:t>
      </w:r>
      <w:r>
        <w:rPr>
          <w:rFonts w:eastAsia="Batang"/>
        </w:rPr>
        <w:t>will</w:t>
      </w:r>
      <w:r w:rsidRPr="00CC00F5">
        <w:rPr>
          <w:rFonts w:eastAsia="Batang"/>
        </w:rPr>
        <w:t xml:space="preserve"> be restricted to the local Community Council area and land within adjacent Community Councils which lies within the National Park.  Any land in these Community Councils which lies outside the National Park would be excluded.</w:t>
      </w:r>
      <w:r>
        <w:rPr>
          <w:rFonts w:eastAsia="Batang"/>
        </w:rPr>
        <w:t xml:space="preserve">  </w:t>
      </w:r>
    </w:p>
    <w:p w:rsidR="00552818" w:rsidRDefault="00552818" w:rsidP="00552818">
      <w:pPr>
        <w:jc w:val="both"/>
        <w:rPr>
          <w:rFonts w:eastAsia="Batang"/>
        </w:rPr>
      </w:pPr>
    </w:p>
    <w:p w:rsidR="00552818" w:rsidRPr="00552818" w:rsidRDefault="00552818" w:rsidP="008D6963">
      <w:pPr>
        <w:numPr>
          <w:ilvl w:val="0"/>
          <w:numId w:val="3"/>
        </w:numPr>
        <w:jc w:val="both"/>
        <w:rPr>
          <w:szCs w:val="24"/>
        </w:rPr>
      </w:pPr>
      <w:r w:rsidRPr="00552818">
        <w:rPr>
          <w:rFonts w:eastAsia="Batang"/>
        </w:rPr>
        <w:t xml:space="preserve">If the money is not spent within 3 years in the local area (as defined in the previous paragraph) the money should be made available to spend on the </w:t>
      </w:r>
      <w:r w:rsidRPr="00552818">
        <w:rPr>
          <w:rFonts w:eastAsia="Batang"/>
        </w:rPr>
        <w:lastRenderedPageBreak/>
        <w:t>delivery of affordable housing in the remainder of the Community Council and adjacent Community Council area if outside the National Park.</w:t>
      </w:r>
      <w:r w:rsidRPr="00552818">
        <w:rPr>
          <w:rStyle w:val="FootnoteReference"/>
          <w:sz w:val="20"/>
        </w:rPr>
        <w:t xml:space="preserve"> </w:t>
      </w:r>
      <w:r w:rsidRPr="00B31515">
        <w:rPr>
          <w:rStyle w:val="FootnoteReference"/>
          <w:sz w:val="20"/>
        </w:rPr>
        <w:footnoteReference w:id="9"/>
      </w:r>
      <w:r w:rsidRPr="00552818">
        <w:rPr>
          <w:rFonts w:eastAsia="Batang"/>
        </w:rPr>
        <w:t xml:space="preserve">  This would acknowledge the fact that there are some split settlements where it would be reasonable to allow spend in the same locality to meet the need.  If not spent within 5 years then it should be returned to the applicant.  The money will be held by the Housing Authority, as current affordable housing contributions are.  </w:t>
      </w:r>
    </w:p>
    <w:sectPr w:rsidR="00552818" w:rsidRPr="00552818" w:rsidSect="0028711F">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4E" w:rsidRDefault="00F7474E" w:rsidP="003A402C">
      <w:r>
        <w:separator/>
      </w:r>
    </w:p>
  </w:endnote>
  <w:endnote w:type="continuationSeparator" w:id="0">
    <w:p w:rsidR="00F7474E" w:rsidRDefault="00F7474E" w:rsidP="003A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4E" w:rsidRDefault="00F7474E" w:rsidP="003A402C">
      <w:r>
        <w:separator/>
      </w:r>
    </w:p>
  </w:footnote>
  <w:footnote w:type="continuationSeparator" w:id="0">
    <w:p w:rsidR="00F7474E" w:rsidRDefault="00F7474E" w:rsidP="003A402C">
      <w:r>
        <w:continuationSeparator/>
      </w:r>
    </w:p>
  </w:footnote>
  <w:footnote w:id="1">
    <w:p w:rsidR="00F7474E" w:rsidRPr="00865E3D" w:rsidRDefault="00F7474E">
      <w:pPr>
        <w:pStyle w:val="FootnoteText"/>
        <w:rPr>
          <w:lang w:val="en-GB"/>
        </w:rPr>
      </w:pPr>
      <w:r>
        <w:rPr>
          <w:rStyle w:val="FootnoteReference"/>
        </w:rPr>
        <w:footnoteRef/>
      </w:r>
      <w:r>
        <w:t xml:space="preserve"> </w:t>
      </w:r>
      <w:hyperlink r:id="rId1" w:history="1">
        <w:r w:rsidRPr="0037732E">
          <w:rPr>
            <w:rStyle w:val="Hyperlink"/>
          </w:rPr>
          <w:t>http://www.pembrokeshirecoast.org.uk/Files/Files/de</w:t>
        </w:r>
        <w:r w:rsidRPr="0037732E">
          <w:rPr>
            <w:rStyle w:val="Hyperlink"/>
          </w:rPr>
          <w:t>v</w:t>
        </w:r>
        <w:r w:rsidRPr="0037732E">
          <w:rPr>
            <w:rStyle w:val="Hyperlink"/>
          </w:rPr>
          <w:t>%20plans/AffordableHousingSpgAdoptedWorkingDraft.pdf</w:t>
        </w:r>
      </w:hyperlink>
    </w:p>
  </w:footnote>
  <w:footnote w:id="2">
    <w:p w:rsidR="00F7474E" w:rsidRPr="00865E3D" w:rsidRDefault="00F7474E">
      <w:pPr>
        <w:pStyle w:val="FootnoteText"/>
        <w:rPr>
          <w:lang w:val="en-GB"/>
        </w:rPr>
      </w:pPr>
      <w:r>
        <w:rPr>
          <w:rStyle w:val="FootnoteReference"/>
        </w:rPr>
        <w:footnoteRef/>
      </w:r>
      <w:r>
        <w:t xml:space="preserve"> </w:t>
      </w:r>
      <w:hyperlink r:id="rId2" w:history="1">
        <w:r w:rsidRPr="0037732E">
          <w:rPr>
            <w:rStyle w:val="Hyperlink"/>
          </w:rPr>
          <w:t>http://www.pembrokeshirecoast.org.uk/Files/Files/dev%20plans/AffordableHousingSpgAdoptedWorkingDraft.pdf</w:t>
        </w:r>
      </w:hyperlink>
      <w:r>
        <w:t xml:space="preserve"> </w:t>
      </w:r>
    </w:p>
  </w:footnote>
  <w:footnote w:id="3">
    <w:p w:rsidR="00F7474E" w:rsidRPr="0032549C" w:rsidRDefault="00F7474E">
      <w:pPr>
        <w:pStyle w:val="FootnoteText"/>
        <w:rPr>
          <w:lang w:val="en-GB"/>
        </w:rPr>
      </w:pPr>
      <w:r>
        <w:rPr>
          <w:rStyle w:val="FootnoteReference"/>
        </w:rPr>
        <w:footnoteRef/>
      </w:r>
      <w:r>
        <w:t xml:space="preserve"> </w:t>
      </w:r>
      <w:hyperlink r:id="rId3" w:history="1">
        <w:r w:rsidRPr="0037732E">
          <w:rPr>
            <w:rStyle w:val="Hyperlink"/>
          </w:rPr>
          <w:t>http://wales.gov.uk/topics/planning/policy/circulars/welshofficecirculars/circular1397/;jsessionid=P8vLQGhLHRMQYLFgj6GJTH2Wkn3GGyBbyKpyZvZF4TWZlN8KhwQK!1219044931?lang=en</w:t>
        </w:r>
      </w:hyperlink>
      <w:r>
        <w:t xml:space="preserve"> </w:t>
      </w:r>
    </w:p>
  </w:footnote>
  <w:footnote w:id="4">
    <w:p w:rsidR="00F7474E" w:rsidRDefault="00F7474E">
      <w:pPr>
        <w:pStyle w:val="FootnoteText"/>
      </w:pPr>
      <w:r>
        <w:rPr>
          <w:rStyle w:val="FootnoteReference"/>
        </w:rPr>
        <w:footnoteRef/>
      </w:r>
      <w:r>
        <w:t xml:space="preserve"> </w:t>
      </w:r>
      <w:hyperlink r:id="rId4" w:history="1">
        <w:r w:rsidRPr="0037732E">
          <w:rPr>
            <w:rStyle w:val="Hyperlink"/>
          </w:rPr>
          <w:t>http://www.pembrokeshirecoast.org.uk/Files/Files/Dev%20Plans/LDPTextEng/LDP4E.pdf#Start</w:t>
        </w:r>
      </w:hyperlink>
    </w:p>
    <w:p w:rsidR="00F7474E" w:rsidRPr="00B746E6" w:rsidRDefault="00F7474E">
      <w:pPr>
        <w:pStyle w:val="FootnoteText"/>
        <w:rPr>
          <w:lang w:val="en-GB"/>
        </w:rPr>
      </w:pPr>
    </w:p>
  </w:footnote>
  <w:footnote w:id="5">
    <w:p w:rsidR="00F7474E" w:rsidRPr="00B746E6" w:rsidRDefault="00F7474E">
      <w:pPr>
        <w:pStyle w:val="FootnoteText"/>
        <w:rPr>
          <w:lang w:val="en-GB"/>
        </w:rPr>
      </w:pPr>
      <w:r>
        <w:rPr>
          <w:rStyle w:val="FootnoteReference"/>
        </w:rPr>
        <w:footnoteRef/>
      </w:r>
      <w:r>
        <w:t xml:space="preserve"> </w:t>
      </w:r>
      <w:hyperlink r:id="rId5" w:history="1">
        <w:r w:rsidRPr="0037732E">
          <w:rPr>
            <w:rStyle w:val="Hyperlink"/>
          </w:rPr>
          <w:t>http://www.pembrokeshirecoast.org.uk/Files/Files/Dev%20Plans/LDPTextEng/LDP4F.pdf#ComFac</w:t>
        </w:r>
      </w:hyperlink>
      <w:r>
        <w:t xml:space="preserve"> </w:t>
      </w:r>
    </w:p>
  </w:footnote>
  <w:footnote w:id="6">
    <w:p w:rsidR="00F7474E" w:rsidRPr="00F7474E" w:rsidRDefault="00F7474E">
      <w:pPr>
        <w:pStyle w:val="FootnoteText"/>
        <w:rPr>
          <w:lang w:val="en-GB"/>
        </w:rPr>
      </w:pPr>
      <w:r>
        <w:rPr>
          <w:rStyle w:val="FootnoteReference"/>
        </w:rPr>
        <w:footnoteRef/>
      </w:r>
      <w:r>
        <w:t xml:space="preserve"> </w:t>
      </w:r>
      <w:hyperlink r:id="rId6" w:history="1">
        <w:r w:rsidRPr="0037732E">
          <w:rPr>
            <w:rStyle w:val="Hyperlink"/>
          </w:rPr>
          <w:t>http://www.pembrokeshirecoast.org.uk/Files/Files/dev%20plans/AdoptedSPG/WebPlanningObligationsFinalJune11E.pdf</w:t>
        </w:r>
      </w:hyperlink>
      <w:r>
        <w:t xml:space="preserve"> </w:t>
      </w:r>
    </w:p>
  </w:footnote>
  <w:footnote w:id="7">
    <w:p w:rsidR="00552818" w:rsidRDefault="00552818" w:rsidP="00552818">
      <w:pPr>
        <w:pStyle w:val="FootnoteText"/>
      </w:pPr>
      <w:r>
        <w:rPr>
          <w:rStyle w:val="FootnoteReference"/>
        </w:rPr>
        <w:footnoteRef/>
      </w:r>
      <w:r>
        <w:t xml:space="preserve"> </w:t>
      </w:r>
      <w:r w:rsidRPr="007F1B4F">
        <w:rPr>
          <w:rFonts w:cs="Arial"/>
          <w:sz w:val="18"/>
          <w:szCs w:val="18"/>
        </w:rPr>
        <w:t xml:space="preserve">This is based on the assumption that a charge of £250 per square </w:t>
      </w:r>
      <w:proofErr w:type="spellStart"/>
      <w:r w:rsidRPr="007F1B4F">
        <w:rPr>
          <w:rFonts w:cs="Arial"/>
          <w:sz w:val="18"/>
          <w:szCs w:val="18"/>
        </w:rPr>
        <w:t>metre</w:t>
      </w:r>
      <w:proofErr w:type="spellEnd"/>
      <w:r w:rsidRPr="007F1B4F">
        <w:rPr>
          <w:rFonts w:cs="Arial"/>
          <w:sz w:val="18"/>
          <w:szCs w:val="18"/>
        </w:rPr>
        <w:t xml:space="preserve"> of a reasonably sized market house would be capable of </w:t>
      </w:r>
      <w:proofErr w:type="spellStart"/>
      <w:r w:rsidRPr="007F1B4F">
        <w:rPr>
          <w:rFonts w:cs="Arial"/>
          <w:sz w:val="18"/>
          <w:szCs w:val="18"/>
        </w:rPr>
        <w:t>subsidising</w:t>
      </w:r>
      <w:proofErr w:type="spellEnd"/>
      <w:r w:rsidRPr="007F1B4F">
        <w:rPr>
          <w:rFonts w:cs="Arial"/>
          <w:sz w:val="18"/>
          <w:szCs w:val="18"/>
        </w:rPr>
        <w:t xml:space="preserve"> 30% of the Acceptable Cost Guideline cost of constructing a 2 </w:t>
      </w:r>
      <w:proofErr w:type="spellStart"/>
      <w:r w:rsidRPr="007F1B4F">
        <w:rPr>
          <w:rFonts w:cs="Arial"/>
          <w:sz w:val="18"/>
          <w:szCs w:val="18"/>
        </w:rPr>
        <w:t>bedroomed</w:t>
      </w:r>
      <w:proofErr w:type="spellEnd"/>
      <w:r w:rsidRPr="007F1B4F">
        <w:rPr>
          <w:rFonts w:cs="Arial"/>
          <w:sz w:val="18"/>
          <w:szCs w:val="18"/>
        </w:rPr>
        <w:t xml:space="preserve"> 3 person affordable house.</w:t>
      </w:r>
      <w:r>
        <w:t xml:space="preserve">    </w:t>
      </w:r>
    </w:p>
  </w:footnote>
  <w:footnote w:id="8">
    <w:p w:rsidR="00552818" w:rsidRPr="00936489" w:rsidRDefault="00552818" w:rsidP="00552818">
      <w:pPr>
        <w:pStyle w:val="FootnoteText"/>
      </w:pPr>
      <w:r>
        <w:rPr>
          <w:rStyle w:val="FootnoteReference"/>
        </w:rPr>
        <w:footnoteRef/>
      </w:r>
      <w:r>
        <w:t xml:space="preserve"> </w:t>
      </w:r>
      <w:r w:rsidRPr="00284A2E">
        <w:rPr>
          <w:rFonts w:cs="Arial"/>
          <w:sz w:val="18"/>
          <w:szCs w:val="18"/>
        </w:rPr>
        <w:t xml:space="preserve">Please note that Technical Advice Note 6; Planning for Sustainable Rural Communities, July 2010 provides for an occupancy condition for a rural enterprise dwelling which includes the possibility of it either being occupied by a rural enterprise worker or if there are no such eligible occupiers then to those in need of affordable housing (paragraph 4.13.1).  It also advises at paragraph 4.13.5 that where </w:t>
      </w:r>
      <w:r>
        <w:rPr>
          <w:rFonts w:cs="Arial"/>
          <w:sz w:val="18"/>
          <w:szCs w:val="18"/>
        </w:rPr>
        <w:t>A</w:t>
      </w:r>
      <w:r w:rsidRPr="00284A2E">
        <w:rPr>
          <w:rFonts w:cs="Arial"/>
          <w:sz w:val="18"/>
          <w:szCs w:val="18"/>
        </w:rPr>
        <w:t>uthorities are minded to remove existing agricultural occupancy conditions then they could be replaced with a rural enterprise condition.</w:t>
      </w:r>
      <w:r w:rsidRPr="00284A2E">
        <w:rPr>
          <w:sz w:val="18"/>
          <w:szCs w:val="18"/>
        </w:rPr>
        <w:t xml:space="preserve"> </w:t>
      </w:r>
      <w:proofErr w:type="spellStart"/>
      <w:r w:rsidRPr="001F1EC3">
        <w:rPr>
          <w:rFonts w:cs="Arial"/>
          <w:sz w:val="18"/>
          <w:szCs w:val="18"/>
        </w:rPr>
        <w:t>Weblink</w:t>
      </w:r>
      <w:proofErr w:type="spellEnd"/>
      <w:r w:rsidRPr="001F1EC3">
        <w:rPr>
          <w:rFonts w:cs="Arial"/>
          <w:sz w:val="18"/>
          <w:szCs w:val="18"/>
        </w:rPr>
        <w:t>:</w:t>
      </w:r>
      <w:r>
        <w:rPr>
          <w:sz w:val="18"/>
          <w:szCs w:val="18"/>
        </w:rPr>
        <w:t xml:space="preserve"> </w:t>
      </w:r>
      <w:r w:rsidRPr="00284A2E">
        <w:rPr>
          <w:sz w:val="18"/>
          <w:szCs w:val="18"/>
        </w:rPr>
        <w:t xml:space="preserve"> </w:t>
      </w:r>
      <w:hyperlink r:id="rId7" w:history="1">
        <w:r w:rsidRPr="00DA67F1">
          <w:rPr>
            <w:rStyle w:val="Hyperlink"/>
            <w:rFonts w:cs="Arial"/>
            <w:sz w:val="18"/>
            <w:szCs w:val="18"/>
          </w:rPr>
          <w:t>http://wales.gov.uk/topics/planning/policy/tans/?lang=en</w:t>
        </w:r>
      </w:hyperlink>
      <w:r>
        <w:rPr>
          <w:rFonts w:cs="Arial"/>
          <w:sz w:val="18"/>
          <w:szCs w:val="18"/>
        </w:rPr>
        <w:t xml:space="preserve"> </w:t>
      </w:r>
    </w:p>
  </w:footnote>
  <w:footnote w:id="9">
    <w:p w:rsidR="00552818" w:rsidRPr="00884338" w:rsidRDefault="00552818" w:rsidP="00552818">
      <w:pPr>
        <w:pStyle w:val="FootnoteText"/>
      </w:pPr>
      <w:r>
        <w:rPr>
          <w:rStyle w:val="FootnoteReference"/>
        </w:rPr>
        <w:footnoteRef/>
      </w:r>
      <w:r>
        <w:t xml:space="preserve"> </w:t>
      </w:r>
      <w:r w:rsidRPr="006109B2">
        <w:rPr>
          <w:rFonts w:cs="Arial"/>
          <w:sz w:val="18"/>
          <w:szCs w:val="18"/>
        </w:rPr>
        <w:t xml:space="preserve">Excluding the main towns of the County, </w:t>
      </w:r>
      <w:proofErr w:type="spellStart"/>
      <w:r w:rsidRPr="006109B2">
        <w:rPr>
          <w:rFonts w:cs="Arial"/>
          <w:sz w:val="18"/>
          <w:szCs w:val="18"/>
        </w:rPr>
        <w:t>Haverfordwest</w:t>
      </w:r>
      <w:proofErr w:type="spellEnd"/>
      <w:r w:rsidRPr="006109B2">
        <w:rPr>
          <w:rFonts w:cs="Arial"/>
          <w:sz w:val="18"/>
          <w:szCs w:val="18"/>
        </w:rPr>
        <w:t xml:space="preserve">, Milford Haven, Pembroke/Pembroke Dock, </w:t>
      </w:r>
      <w:proofErr w:type="spellStart"/>
      <w:r w:rsidRPr="006109B2">
        <w:rPr>
          <w:rFonts w:cs="Arial"/>
          <w:sz w:val="18"/>
          <w:szCs w:val="18"/>
        </w:rPr>
        <w:t>Neyland</w:t>
      </w:r>
      <w:proofErr w:type="spellEnd"/>
      <w:r w:rsidRPr="006109B2">
        <w:rPr>
          <w:rFonts w:cs="Arial"/>
          <w:sz w:val="18"/>
          <w:szCs w:val="18"/>
        </w:rPr>
        <w:t xml:space="preserve">, </w:t>
      </w:r>
      <w:proofErr w:type="spellStart"/>
      <w:proofErr w:type="gramStart"/>
      <w:r w:rsidRPr="006109B2">
        <w:rPr>
          <w:rFonts w:cs="Arial"/>
          <w:sz w:val="18"/>
          <w:szCs w:val="18"/>
        </w:rPr>
        <w:t>Fishguard</w:t>
      </w:r>
      <w:proofErr w:type="spellEnd"/>
      <w:proofErr w:type="gramEnd"/>
      <w:r w:rsidRPr="006109B2">
        <w:rPr>
          <w:rFonts w:cs="Arial"/>
          <w:sz w:val="18"/>
          <w:szCs w:val="18"/>
        </w:rPr>
        <w:t xml:space="preserve"> &amp; </w:t>
      </w:r>
      <w:proofErr w:type="spellStart"/>
      <w:r w:rsidRPr="006109B2">
        <w:rPr>
          <w:rFonts w:cs="Arial"/>
          <w:sz w:val="18"/>
          <w:szCs w:val="18"/>
        </w:rPr>
        <w:t>Goodwick</w:t>
      </w:r>
      <w:proofErr w:type="spellEnd"/>
      <w:r w:rsidRPr="006109B2">
        <w:rPr>
          <w:rFonts w:cs="Arial"/>
          <w:sz w:val="18"/>
          <w:szCs w:val="18"/>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5CA"/>
    <w:multiLevelType w:val="hybridMultilevel"/>
    <w:tmpl w:val="CB82E11E"/>
    <w:lvl w:ilvl="0" w:tplc="0409000F">
      <w:start w:val="1"/>
      <w:numFmt w:val="decimal"/>
      <w:lvlText w:val="%1."/>
      <w:lvlJc w:val="left"/>
      <w:pPr>
        <w:tabs>
          <w:tab w:val="num" w:pos="786"/>
        </w:tabs>
        <w:ind w:left="78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124FA4"/>
    <w:multiLevelType w:val="hybridMultilevel"/>
    <w:tmpl w:val="017EBFE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
    <w:nsid w:val="33021B64"/>
    <w:multiLevelType w:val="hybridMultilevel"/>
    <w:tmpl w:val="F26E1C64"/>
    <w:lvl w:ilvl="0" w:tplc="04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C82376"/>
    <w:multiLevelType w:val="hybridMultilevel"/>
    <w:tmpl w:val="ACD27D6E"/>
    <w:lvl w:ilvl="0" w:tplc="0658D6F2">
      <w:start w:val="1"/>
      <w:numFmt w:val="bullet"/>
      <w:lvlText w:val=""/>
      <w:lvlJc w:val="left"/>
      <w:pPr>
        <w:tabs>
          <w:tab w:val="num" w:pos="737"/>
        </w:tabs>
        <w:ind w:left="78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A32DC"/>
    <w:multiLevelType w:val="hybridMultilevel"/>
    <w:tmpl w:val="DA14E69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5">
    <w:nsid w:val="54FF7393"/>
    <w:multiLevelType w:val="multilevel"/>
    <w:tmpl w:val="070839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57F87BB2"/>
    <w:multiLevelType w:val="hybridMultilevel"/>
    <w:tmpl w:val="63EA8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F556C6"/>
    <w:multiLevelType w:val="hybridMultilevel"/>
    <w:tmpl w:val="747AE472"/>
    <w:lvl w:ilvl="0" w:tplc="0658D6F2">
      <w:start w:val="1"/>
      <w:numFmt w:val="bullet"/>
      <w:lvlText w:val=""/>
      <w:lvlJc w:val="left"/>
      <w:pPr>
        <w:tabs>
          <w:tab w:val="num" w:pos="1301"/>
        </w:tabs>
        <w:ind w:left="1344" w:hanging="360"/>
      </w:pPr>
      <w:rPr>
        <w:rFonts w:ascii="Wingdings" w:hAnsi="Wingdings" w:hint="default"/>
      </w:rPr>
    </w:lvl>
    <w:lvl w:ilvl="1" w:tplc="04090003" w:tentative="1">
      <w:start w:val="1"/>
      <w:numFmt w:val="bullet"/>
      <w:lvlText w:val="o"/>
      <w:lvlJc w:val="left"/>
      <w:pPr>
        <w:tabs>
          <w:tab w:val="num" w:pos="2004"/>
        </w:tabs>
        <w:ind w:left="2004" w:hanging="360"/>
      </w:pPr>
      <w:rPr>
        <w:rFonts w:ascii="Courier New" w:hAnsi="Courier New" w:cs="Courier New" w:hint="default"/>
      </w:rPr>
    </w:lvl>
    <w:lvl w:ilvl="2" w:tplc="04090005" w:tentative="1">
      <w:start w:val="1"/>
      <w:numFmt w:val="bullet"/>
      <w:lvlText w:val=""/>
      <w:lvlJc w:val="left"/>
      <w:pPr>
        <w:tabs>
          <w:tab w:val="num" w:pos="2724"/>
        </w:tabs>
        <w:ind w:left="2724" w:hanging="360"/>
      </w:pPr>
      <w:rPr>
        <w:rFonts w:ascii="Wingdings" w:hAnsi="Wingdings" w:hint="default"/>
      </w:rPr>
    </w:lvl>
    <w:lvl w:ilvl="3" w:tplc="04090001" w:tentative="1">
      <w:start w:val="1"/>
      <w:numFmt w:val="bullet"/>
      <w:lvlText w:val=""/>
      <w:lvlJc w:val="left"/>
      <w:pPr>
        <w:tabs>
          <w:tab w:val="num" w:pos="3444"/>
        </w:tabs>
        <w:ind w:left="3444" w:hanging="360"/>
      </w:pPr>
      <w:rPr>
        <w:rFonts w:ascii="Symbol" w:hAnsi="Symbol" w:hint="default"/>
      </w:rPr>
    </w:lvl>
    <w:lvl w:ilvl="4" w:tplc="04090003" w:tentative="1">
      <w:start w:val="1"/>
      <w:numFmt w:val="bullet"/>
      <w:lvlText w:val="o"/>
      <w:lvlJc w:val="left"/>
      <w:pPr>
        <w:tabs>
          <w:tab w:val="num" w:pos="4164"/>
        </w:tabs>
        <w:ind w:left="4164" w:hanging="360"/>
      </w:pPr>
      <w:rPr>
        <w:rFonts w:ascii="Courier New" w:hAnsi="Courier New" w:cs="Courier New" w:hint="default"/>
      </w:rPr>
    </w:lvl>
    <w:lvl w:ilvl="5" w:tplc="04090005" w:tentative="1">
      <w:start w:val="1"/>
      <w:numFmt w:val="bullet"/>
      <w:lvlText w:val=""/>
      <w:lvlJc w:val="left"/>
      <w:pPr>
        <w:tabs>
          <w:tab w:val="num" w:pos="4884"/>
        </w:tabs>
        <w:ind w:left="4884" w:hanging="360"/>
      </w:pPr>
      <w:rPr>
        <w:rFonts w:ascii="Wingdings" w:hAnsi="Wingdings" w:hint="default"/>
      </w:rPr>
    </w:lvl>
    <w:lvl w:ilvl="6" w:tplc="04090001" w:tentative="1">
      <w:start w:val="1"/>
      <w:numFmt w:val="bullet"/>
      <w:lvlText w:val=""/>
      <w:lvlJc w:val="left"/>
      <w:pPr>
        <w:tabs>
          <w:tab w:val="num" w:pos="5604"/>
        </w:tabs>
        <w:ind w:left="5604" w:hanging="360"/>
      </w:pPr>
      <w:rPr>
        <w:rFonts w:ascii="Symbol" w:hAnsi="Symbol" w:hint="default"/>
      </w:rPr>
    </w:lvl>
    <w:lvl w:ilvl="7" w:tplc="04090003" w:tentative="1">
      <w:start w:val="1"/>
      <w:numFmt w:val="bullet"/>
      <w:lvlText w:val="o"/>
      <w:lvlJc w:val="left"/>
      <w:pPr>
        <w:tabs>
          <w:tab w:val="num" w:pos="6324"/>
        </w:tabs>
        <w:ind w:left="6324" w:hanging="360"/>
      </w:pPr>
      <w:rPr>
        <w:rFonts w:ascii="Courier New" w:hAnsi="Courier New" w:cs="Courier New" w:hint="default"/>
      </w:rPr>
    </w:lvl>
    <w:lvl w:ilvl="8" w:tplc="04090005" w:tentative="1">
      <w:start w:val="1"/>
      <w:numFmt w:val="bullet"/>
      <w:lvlText w:val=""/>
      <w:lvlJc w:val="left"/>
      <w:pPr>
        <w:tabs>
          <w:tab w:val="num" w:pos="7044"/>
        </w:tabs>
        <w:ind w:left="7044" w:hanging="360"/>
      </w:pPr>
      <w:rPr>
        <w:rFonts w:ascii="Wingdings" w:hAnsi="Wingdings" w:hint="default"/>
      </w:rPr>
    </w:lvl>
  </w:abstractNum>
  <w:abstractNum w:abstractNumId="8">
    <w:nsid w:val="6AE813DE"/>
    <w:multiLevelType w:val="hybridMultilevel"/>
    <w:tmpl w:val="79C29CA2"/>
    <w:lvl w:ilvl="0" w:tplc="0409000F">
      <w:start w:val="1"/>
      <w:numFmt w:val="decimal"/>
      <w:lvlText w:val="%1."/>
      <w:lvlJc w:val="left"/>
      <w:pPr>
        <w:tabs>
          <w:tab w:val="num" w:pos="786"/>
        </w:tabs>
        <w:ind w:left="78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F9122F"/>
    <w:multiLevelType w:val="multilevel"/>
    <w:tmpl w:val="993E7DAA"/>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
  </w:num>
  <w:num w:numId="3">
    <w:abstractNumId w:val="0"/>
  </w:num>
  <w:num w:numId="4">
    <w:abstractNumId w:val="6"/>
  </w:num>
  <w:num w:numId="5">
    <w:abstractNumId w:val="8"/>
  </w:num>
  <w:num w:numId="6">
    <w:abstractNumId w:val="2"/>
  </w:num>
  <w:num w:numId="7">
    <w:abstractNumId w:val="1"/>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6D37"/>
    <w:rsid w:val="000E7BF4"/>
    <w:rsid w:val="000F2D99"/>
    <w:rsid w:val="00103877"/>
    <w:rsid w:val="001C00B6"/>
    <w:rsid w:val="001E2506"/>
    <w:rsid w:val="002041E2"/>
    <w:rsid w:val="00285B1C"/>
    <w:rsid w:val="0028711F"/>
    <w:rsid w:val="0032549C"/>
    <w:rsid w:val="00377E9D"/>
    <w:rsid w:val="003A402C"/>
    <w:rsid w:val="004026EE"/>
    <w:rsid w:val="00486DCE"/>
    <w:rsid w:val="0048732D"/>
    <w:rsid w:val="00516CEF"/>
    <w:rsid w:val="00552818"/>
    <w:rsid w:val="0059221F"/>
    <w:rsid w:val="00634BA5"/>
    <w:rsid w:val="00693F89"/>
    <w:rsid w:val="00790669"/>
    <w:rsid w:val="0080509A"/>
    <w:rsid w:val="008121AA"/>
    <w:rsid w:val="00865E3D"/>
    <w:rsid w:val="008758B9"/>
    <w:rsid w:val="008763EE"/>
    <w:rsid w:val="008B17E5"/>
    <w:rsid w:val="008C6D37"/>
    <w:rsid w:val="008D6963"/>
    <w:rsid w:val="00942F28"/>
    <w:rsid w:val="00963891"/>
    <w:rsid w:val="00986B3F"/>
    <w:rsid w:val="00A06169"/>
    <w:rsid w:val="00A51E0C"/>
    <w:rsid w:val="00A965C4"/>
    <w:rsid w:val="00B12867"/>
    <w:rsid w:val="00B746E6"/>
    <w:rsid w:val="00B74E51"/>
    <w:rsid w:val="00B82C86"/>
    <w:rsid w:val="00C215C7"/>
    <w:rsid w:val="00CA1095"/>
    <w:rsid w:val="00D40A10"/>
    <w:rsid w:val="00D449C7"/>
    <w:rsid w:val="00D97F04"/>
    <w:rsid w:val="00E03551"/>
    <w:rsid w:val="00E37811"/>
    <w:rsid w:val="00E62B27"/>
    <w:rsid w:val="00E82F72"/>
    <w:rsid w:val="00EC1A86"/>
    <w:rsid w:val="00F56AA5"/>
    <w:rsid w:val="00F7474E"/>
    <w:rsid w:val="00F97A5E"/>
    <w:rsid w:val="00FE43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11"/>
    <w:rPr>
      <w:rFonts w:ascii="Arial" w:hAnsi="Arial" w:cs="Arial"/>
      <w:sz w:val="24"/>
      <w:szCs w:val="22"/>
      <w:lang w:val="en-US" w:eastAsia="en-US"/>
    </w:rPr>
  </w:style>
  <w:style w:type="paragraph" w:styleId="Heading1">
    <w:name w:val="heading 1"/>
    <w:basedOn w:val="Normal"/>
    <w:next w:val="Normal"/>
    <w:link w:val="Heading1Char"/>
    <w:qFormat/>
    <w:rsid w:val="00204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BodyText"/>
    <w:link w:val="Heading3Char"/>
    <w:qFormat/>
    <w:rsid w:val="003A402C"/>
    <w:pPr>
      <w:keepNext/>
      <w:keepLines/>
      <w:spacing w:after="240" w:line="240" w:lineRule="atLeast"/>
      <w:ind w:left="1080"/>
      <w:outlineLvl w:val="2"/>
    </w:pPr>
    <w:rPr>
      <w:rFonts w:ascii="Trebuchet MS" w:hAnsi="Trebuchet MS"/>
      <w:color w:val="666666"/>
      <w:spacing w:val="-5"/>
      <w:sz w:val="28"/>
      <w:szCs w:val="28"/>
      <w:lang w:val="en-GB"/>
    </w:rPr>
  </w:style>
  <w:style w:type="paragraph" w:styleId="Heading4">
    <w:name w:val="heading 4"/>
    <w:basedOn w:val="Normal"/>
    <w:next w:val="BodyText"/>
    <w:link w:val="Heading4Char"/>
    <w:qFormat/>
    <w:rsid w:val="003A402C"/>
    <w:pPr>
      <w:keepNext/>
      <w:keepLines/>
      <w:spacing w:after="240" w:line="240" w:lineRule="atLeast"/>
      <w:ind w:left="1080"/>
      <w:outlineLvl w:val="3"/>
    </w:pPr>
    <w:rPr>
      <w:rFonts w:ascii="Trebuchet MS" w:hAnsi="Trebuchet MS" w:cs="Times New Roman"/>
      <w:color w:val="000066"/>
      <w:spacing w:val="-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qFormat/>
    <w:rsid w:val="00E37811"/>
    <w:rPr>
      <w:b/>
      <w:szCs w:val="24"/>
    </w:rPr>
  </w:style>
  <w:style w:type="character" w:customStyle="1" w:styleId="Heading3Char">
    <w:name w:val="Heading 3 Char"/>
    <w:basedOn w:val="DefaultParagraphFont"/>
    <w:link w:val="Heading3"/>
    <w:rsid w:val="003A402C"/>
    <w:rPr>
      <w:rFonts w:ascii="Trebuchet MS" w:hAnsi="Trebuchet MS" w:cs="Arial"/>
      <w:color w:val="666666"/>
      <w:spacing w:val="-5"/>
      <w:sz w:val="28"/>
      <w:szCs w:val="28"/>
      <w:lang w:eastAsia="en-US"/>
    </w:rPr>
  </w:style>
  <w:style w:type="character" w:customStyle="1" w:styleId="Heading4Char">
    <w:name w:val="Heading 4 Char"/>
    <w:basedOn w:val="DefaultParagraphFont"/>
    <w:link w:val="Heading4"/>
    <w:rsid w:val="003A402C"/>
    <w:rPr>
      <w:rFonts w:ascii="Trebuchet MS" w:hAnsi="Trebuchet MS"/>
      <w:color w:val="000066"/>
      <w:spacing w:val="-5"/>
      <w:sz w:val="24"/>
      <w:szCs w:val="24"/>
      <w:lang w:eastAsia="en-US"/>
    </w:rPr>
  </w:style>
  <w:style w:type="paragraph" w:styleId="BodyText">
    <w:name w:val="Body Text"/>
    <w:basedOn w:val="Normal"/>
    <w:link w:val="BodyTextChar"/>
    <w:rsid w:val="003A402C"/>
    <w:pPr>
      <w:spacing w:after="240" w:line="240" w:lineRule="atLeast"/>
      <w:ind w:left="1080"/>
      <w:jc w:val="both"/>
    </w:pPr>
    <w:rPr>
      <w:rFonts w:cs="Times New Roman"/>
      <w:spacing w:val="-5"/>
      <w:sz w:val="20"/>
      <w:szCs w:val="20"/>
    </w:rPr>
  </w:style>
  <w:style w:type="character" w:customStyle="1" w:styleId="BodyTextChar">
    <w:name w:val="Body Text Char"/>
    <w:basedOn w:val="DefaultParagraphFont"/>
    <w:link w:val="BodyText"/>
    <w:rsid w:val="003A402C"/>
    <w:rPr>
      <w:rFonts w:ascii="Arial" w:hAnsi="Arial"/>
      <w:spacing w:val="-5"/>
      <w:lang w:val="en-US" w:eastAsia="en-US"/>
    </w:rPr>
  </w:style>
  <w:style w:type="character" w:styleId="FootnoteReference">
    <w:name w:val="footnote reference"/>
    <w:rsid w:val="003A402C"/>
    <w:rPr>
      <w:vertAlign w:val="superscript"/>
    </w:rPr>
  </w:style>
  <w:style w:type="paragraph" w:styleId="FootnoteText">
    <w:name w:val="footnote text"/>
    <w:basedOn w:val="Normal"/>
    <w:link w:val="FootnoteTextChar"/>
    <w:rsid w:val="003A402C"/>
    <w:pPr>
      <w:keepLines/>
      <w:spacing w:line="200" w:lineRule="atLeast"/>
      <w:ind w:left="1080"/>
    </w:pPr>
    <w:rPr>
      <w:rFonts w:cs="Times New Roman"/>
      <w:spacing w:val="-5"/>
      <w:sz w:val="16"/>
      <w:szCs w:val="20"/>
    </w:rPr>
  </w:style>
  <w:style w:type="character" w:customStyle="1" w:styleId="FootnoteTextChar">
    <w:name w:val="Footnote Text Char"/>
    <w:basedOn w:val="DefaultParagraphFont"/>
    <w:link w:val="FootnoteText"/>
    <w:rsid w:val="003A402C"/>
    <w:rPr>
      <w:rFonts w:ascii="Arial" w:hAnsi="Arial"/>
      <w:spacing w:val="-5"/>
      <w:sz w:val="16"/>
      <w:lang w:val="en-US" w:eastAsia="en-US"/>
    </w:rPr>
  </w:style>
  <w:style w:type="paragraph" w:customStyle="1" w:styleId="tableHeading">
    <w:name w:val="tableHeading"/>
    <w:basedOn w:val="Normal"/>
    <w:rsid w:val="003A402C"/>
    <w:pPr>
      <w:keepNext/>
      <w:spacing w:before="60" w:after="60"/>
      <w:ind w:left="57" w:right="57"/>
    </w:pPr>
    <w:rPr>
      <w:rFonts w:cs="Times New Roman"/>
      <w:b/>
      <w:snapToGrid w:val="0"/>
      <w:sz w:val="22"/>
      <w:szCs w:val="20"/>
      <w:lang w:val="en-GB"/>
    </w:rPr>
  </w:style>
  <w:style w:type="paragraph" w:styleId="ListParagraph">
    <w:name w:val="List Paragraph"/>
    <w:basedOn w:val="Normal"/>
    <w:uiPriority w:val="34"/>
    <w:qFormat/>
    <w:rsid w:val="00C215C7"/>
    <w:pPr>
      <w:ind w:left="720"/>
      <w:contextualSpacing/>
    </w:pPr>
  </w:style>
  <w:style w:type="character" w:customStyle="1" w:styleId="Heading1Char">
    <w:name w:val="Heading 1 Char"/>
    <w:basedOn w:val="DefaultParagraphFont"/>
    <w:link w:val="Heading1"/>
    <w:rsid w:val="002041E2"/>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DefaultParagraphFont"/>
    <w:rsid w:val="00865E3D"/>
    <w:rPr>
      <w:color w:val="0000FF" w:themeColor="hyperlink"/>
      <w:u w:val="single"/>
    </w:rPr>
  </w:style>
  <w:style w:type="character" w:styleId="FollowedHyperlink">
    <w:name w:val="FollowedHyperlink"/>
    <w:basedOn w:val="DefaultParagraphFont"/>
    <w:rsid w:val="00B82C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ales.gov.uk/topics/planning/policy/circulars/welshofficecirculars/circular1397/;jsessionid=P8vLQGhLHRMQYLFgj6GJTH2Wkn3GGyBbyKpyZvZF4TWZlN8KhwQK!1219044931?lang=en" TargetMode="External"/><Relationship Id="rId7" Type="http://schemas.openxmlformats.org/officeDocument/2006/relationships/hyperlink" Target="http://wales.gov.uk/topics/planning/policy/tans/?lang=en" TargetMode="External"/><Relationship Id="rId2" Type="http://schemas.openxmlformats.org/officeDocument/2006/relationships/hyperlink" Target="http://www.pembrokeshirecoast.org.uk/Files/Files/dev%20plans/AffordableHousingSpgAdoptedWorkingDraft.pdf" TargetMode="External"/><Relationship Id="rId1" Type="http://schemas.openxmlformats.org/officeDocument/2006/relationships/hyperlink" Target="http://www.pembrokeshirecoast.org.uk/Files/Files/dev%20plans/AffordableHousingSpgAdoptedWorkingDraft.pdf" TargetMode="External"/><Relationship Id="rId6" Type="http://schemas.openxmlformats.org/officeDocument/2006/relationships/hyperlink" Target="http://www.pembrokeshirecoast.org.uk/Files/Files/dev%20plans/AdoptedSPG/WebPlanningObligationsFinalJune11E.pdf" TargetMode="External"/><Relationship Id="rId5" Type="http://schemas.openxmlformats.org/officeDocument/2006/relationships/hyperlink" Target="http://www.pembrokeshirecoast.org.uk/Files/Files/Dev%20Plans/LDPTextEng/LDP4F.pdf#ComFac" TargetMode="External"/><Relationship Id="rId4" Type="http://schemas.openxmlformats.org/officeDocument/2006/relationships/hyperlink" Target="http://www.pembrokeshirecoast.org.uk/Files/Files/Dev%20Plans/LDPTextEng/LDP4E.pdf#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B3EB-EEFF-4E6E-9E06-8703B643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1024</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dc:creator>
  <cp:lastModifiedBy>martinad</cp:lastModifiedBy>
  <cp:revision>8</cp:revision>
  <dcterms:created xsi:type="dcterms:W3CDTF">2012-09-03T12:00:00Z</dcterms:created>
  <dcterms:modified xsi:type="dcterms:W3CDTF">2012-09-03T12:57:00Z</dcterms:modified>
</cp:coreProperties>
</file>