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F" w:rsidRPr="006E326A" w:rsidRDefault="0023363F">
      <w:pPr>
        <w:jc w:val="right"/>
        <w:rPr>
          <w:rFonts w:ascii="Arial" w:hAnsi="Arial" w:cs="Arial"/>
          <w:sz w:val="52"/>
        </w:rPr>
      </w:pPr>
      <w:r w:rsidRPr="006E326A">
        <w:rPr>
          <w:rFonts w:ascii="Arial" w:hAnsi="Arial" w:cs="Arial"/>
          <w:b/>
          <w:bCs/>
          <w:sz w:val="28"/>
        </w:rPr>
        <w:t>Report No.</w:t>
      </w:r>
      <w:r w:rsidRPr="006E326A">
        <w:rPr>
          <w:rFonts w:ascii="Arial" w:hAnsi="Arial" w:cs="Arial"/>
          <w:sz w:val="52"/>
        </w:rPr>
        <w:t xml:space="preserve"> </w:t>
      </w:r>
      <w:r w:rsidR="006A15BF">
        <w:rPr>
          <w:rFonts w:ascii="Arial" w:hAnsi="Arial" w:cs="Arial"/>
          <w:b/>
          <w:bCs/>
          <w:sz w:val="52"/>
        </w:rPr>
        <w:t>05</w:t>
      </w:r>
      <w:r w:rsidRPr="006E326A">
        <w:rPr>
          <w:rFonts w:ascii="Arial" w:hAnsi="Arial" w:cs="Arial"/>
          <w:b/>
          <w:bCs/>
          <w:sz w:val="52"/>
        </w:rPr>
        <w:t>/</w:t>
      </w:r>
      <w:r w:rsidR="0012382F">
        <w:rPr>
          <w:rFonts w:ascii="Arial" w:hAnsi="Arial" w:cs="Arial"/>
          <w:b/>
          <w:bCs/>
          <w:sz w:val="52"/>
        </w:rPr>
        <w:t>11</w:t>
      </w:r>
    </w:p>
    <w:p w:rsidR="0023363F" w:rsidRPr="006E326A" w:rsidRDefault="0012382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Standards</w:t>
      </w:r>
      <w:r w:rsidR="0023363F" w:rsidRPr="006E326A">
        <w:rPr>
          <w:rFonts w:ascii="Arial" w:hAnsi="Arial" w:cs="Arial"/>
          <w:b/>
          <w:bCs/>
        </w:rPr>
        <w:t xml:space="preserve"> Committee</w:t>
      </w:r>
    </w:p>
    <w:p w:rsidR="0023363F" w:rsidRPr="006E326A" w:rsidRDefault="0023363F">
      <w:pPr>
        <w:jc w:val="right"/>
        <w:rPr>
          <w:rFonts w:ascii="Arial" w:hAnsi="Arial" w:cs="Arial"/>
        </w:rPr>
      </w:pPr>
    </w:p>
    <w:p w:rsidR="0023363F" w:rsidRPr="006E326A" w:rsidRDefault="0023363F">
      <w:pPr>
        <w:rPr>
          <w:rFonts w:ascii="Arial" w:hAnsi="Arial" w:cs="Arial"/>
        </w:rPr>
      </w:pPr>
    </w:p>
    <w:p w:rsidR="0023363F" w:rsidRPr="006E326A" w:rsidRDefault="0023363F">
      <w:pPr>
        <w:jc w:val="center"/>
        <w:rPr>
          <w:rFonts w:ascii="Arial" w:hAnsi="Arial" w:cs="Arial"/>
        </w:rPr>
      </w:pPr>
      <w:r w:rsidRPr="006E326A">
        <w:rPr>
          <w:rFonts w:ascii="Arial" w:hAnsi="Arial" w:cs="Arial"/>
          <w:b/>
        </w:rPr>
        <w:t xml:space="preserve">REPORT OF </w:t>
      </w:r>
      <w:r w:rsidR="0012382F">
        <w:rPr>
          <w:rFonts w:ascii="Arial" w:hAnsi="Arial" w:cs="Arial"/>
          <w:b/>
        </w:rPr>
        <w:t>THE MONITORING OFFICER</w:t>
      </w:r>
    </w:p>
    <w:p w:rsidR="0023363F" w:rsidRPr="006E326A" w:rsidRDefault="0023363F">
      <w:pPr>
        <w:rPr>
          <w:rFonts w:ascii="Arial" w:hAnsi="Arial" w:cs="Arial"/>
        </w:rPr>
      </w:pPr>
    </w:p>
    <w:p w:rsidR="0023363F" w:rsidRPr="006E326A" w:rsidRDefault="00897E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251657728" from="1pt,3.05pt" to="455.15pt,3.1pt" o:allowincell="f" strokeweight="1pt">
            <v:stroke startarrowwidth="narrow" startarrowlength="short" endarrowwidth="narrow" endarrowlength="short"/>
          </v:line>
        </w:pict>
      </w:r>
    </w:p>
    <w:p w:rsidR="0023363F" w:rsidRPr="006E326A" w:rsidRDefault="0023363F">
      <w:pPr>
        <w:rPr>
          <w:rFonts w:ascii="Arial" w:hAnsi="Arial" w:cs="Arial"/>
          <w:b/>
        </w:rPr>
      </w:pPr>
      <w:r w:rsidRPr="006E326A">
        <w:rPr>
          <w:rFonts w:ascii="Arial" w:hAnsi="Arial" w:cs="Arial"/>
          <w:b/>
        </w:rPr>
        <w:t>SUBJECT:</w:t>
      </w:r>
      <w:r w:rsidR="0012382F">
        <w:rPr>
          <w:rFonts w:ascii="Arial" w:hAnsi="Arial" w:cs="Arial"/>
          <w:b/>
        </w:rPr>
        <w:t xml:space="preserve">  </w:t>
      </w:r>
      <w:r w:rsidR="006A15BF" w:rsidRPr="008427BD">
        <w:rPr>
          <w:rFonts w:ascii="Arial" w:hAnsi="Arial"/>
          <w:b/>
          <w:bCs/>
        </w:rPr>
        <w:t>PROTOCOL FOR OFFICERS GIVING EVIDENCE IN COURT</w:t>
      </w:r>
    </w:p>
    <w:p w:rsidR="0012382F" w:rsidRPr="00394060" w:rsidRDefault="0012382F" w:rsidP="0012382F">
      <w:pPr>
        <w:rPr>
          <w:rFonts w:ascii="Arial" w:hAnsi="Arial"/>
          <w:b/>
          <w:szCs w:val="24"/>
          <w:u w:val="single"/>
        </w:rPr>
      </w:pPr>
    </w:p>
    <w:p w:rsidR="0012382F" w:rsidRPr="00394060" w:rsidRDefault="0012382F" w:rsidP="0012382F">
      <w:pPr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 xml:space="preserve">On </w:t>
      </w:r>
      <w:r>
        <w:rPr>
          <w:rFonts w:ascii="Arial" w:hAnsi="Arial"/>
          <w:szCs w:val="24"/>
        </w:rPr>
        <w:t>two</w:t>
      </w:r>
      <w:r w:rsidRPr="00394060">
        <w:rPr>
          <w:rFonts w:ascii="Arial" w:hAnsi="Arial"/>
          <w:szCs w:val="24"/>
        </w:rPr>
        <w:t xml:space="preserve"> occasions since November 2008, I have been asked about the Authority’s policy on </w:t>
      </w:r>
      <w:r w:rsidR="007602C2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 xml:space="preserve">fficers </w:t>
      </w:r>
      <w:r>
        <w:rPr>
          <w:rFonts w:ascii="Arial" w:hAnsi="Arial"/>
          <w:szCs w:val="24"/>
        </w:rPr>
        <w:t>attending court</w:t>
      </w:r>
      <w:r w:rsidRPr="00394060">
        <w:rPr>
          <w:rFonts w:ascii="Arial" w:hAnsi="Arial"/>
          <w:szCs w:val="24"/>
        </w:rPr>
        <w:t xml:space="preserve"> as witnesses </w:t>
      </w:r>
      <w:r>
        <w:rPr>
          <w:rFonts w:ascii="Arial" w:hAnsi="Arial"/>
          <w:szCs w:val="24"/>
        </w:rPr>
        <w:t xml:space="preserve">in </w:t>
      </w:r>
      <w:r w:rsidRPr="00394060">
        <w:rPr>
          <w:rFonts w:ascii="Arial" w:hAnsi="Arial"/>
          <w:szCs w:val="24"/>
        </w:rPr>
        <w:t>cases that the Authority is not involved in itself.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394060" w:rsidRDefault="0012382F" w:rsidP="0012382F">
      <w:pPr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I have established that there is no guidance in place at the moment</w:t>
      </w:r>
      <w:r w:rsidR="00B76188">
        <w:rPr>
          <w:rFonts w:ascii="Arial" w:hAnsi="Arial"/>
          <w:szCs w:val="24"/>
        </w:rPr>
        <w:t xml:space="preserve">.  </w:t>
      </w:r>
      <w:r w:rsidRPr="00394060">
        <w:rPr>
          <w:rFonts w:ascii="Arial" w:hAnsi="Arial"/>
          <w:szCs w:val="24"/>
        </w:rPr>
        <w:t>I believe there should be a policy in plac</w:t>
      </w:r>
      <w:r w:rsidR="00B76188">
        <w:rPr>
          <w:rFonts w:ascii="Arial" w:hAnsi="Arial"/>
          <w:szCs w:val="24"/>
        </w:rPr>
        <w:t xml:space="preserve">e to ensure future consistency.  </w:t>
      </w:r>
      <w:r w:rsidRPr="00394060">
        <w:rPr>
          <w:rFonts w:ascii="Arial" w:hAnsi="Arial"/>
          <w:szCs w:val="24"/>
        </w:rPr>
        <w:t>I have drafted a policy and set it out below for discussion.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394060" w:rsidRDefault="0012382F" w:rsidP="0012382F">
      <w:pPr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 xml:space="preserve">I have checked with other </w:t>
      </w:r>
      <w:r w:rsidR="00B76188">
        <w:rPr>
          <w:rFonts w:ascii="Arial" w:hAnsi="Arial"/>
          <w:szCs w:val="24"/>
        </w:rPr>
        <w:t>L</w:t>
      </w:r>
      <w:r w:rsidRPr="00394060">
        <w:rPr>
          <w:rFonts w:ascii="Arial" w:hAnsi="Arial"/>
          <w:szCs w:val="24"/>
        </w:rPr>
        <w:t xml:space="preserve">ocal </w:t>
      </w:r>
      <w:r w:rsidR="00B76188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uthorities across Wales and the Dyfed-Powys P</w:t>
      </w:r>
      <w:r w:rsidR="00B76188">
        <w:rPr>
          <w:rFonts w:ascii="Arial" w:hAnsi="Arial"/>
          <w:szCs w:val="24"/>
        </w:rPr>
        <w:t xml:space="preserve">olice Authority.  </w:t>
      </w:r>
      <w:r w:rsidRPr="00394060">
        <w:rPr>
          <w:rFonts w:ascii="Arial" w:hAnsi="Arial"/>
          <w:szCs w:val="24"/>
        </w:rPr>
        <w:t xml:space="preserve">Across Wales there is no consistent policy with some authorities not having any policy and some having similar policies to the one I propose. I have based this on the Dyfed –Powys </w:t>
      </w:r>
      <w:r w:rsidR="007602C2">
        <w:rPr>
          <w:rFonts w:ascii="Arial" w:hAnsi="Arial"/>
          <w:szCs w:val="24"/>
        </w:rPr>
        <w:t>P</w:t>
      </w:r>
      <w:r w:rsidRPr="00394060">
        <w:rPr>
          <w:rFonts w:ascii="Arial" w:hAnsi="Arial"/>
          <w:szCs w:val="24"/>
        </w:rPr>
        <w:t>olice Authority’s policy.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394060" w:rsidRDefault="0012382F" w:rsidP="0012382F">
      <w:pPr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I recommend that we resolve to refer the policy to the next NPA for adoption by the Authority.</w:t>
      </w:r>
    </w:p>
    <w:p w:rsidR="00B76188" w:rsidRDefault="00B76188" w:rsidP="00B76188">
      <w:pPr>
        <w:rPr>
          <w:rFonts w:ascii="Arial" w:hAnsi="Arial"/>
          <w:szCs w:val="24"/>
          <w:u w:val="single"/>
        </w:rPr>
      </w:pPr>
    </w:p>
    <w:p w:rsidR="0012382F" w:rsidRPr="00394060" w:rsidRDefault="0012382F" w:rsidP="00B76188">
      <w:pPr>
        <w:rPr>
          <w:rFonts w:ascii="Arial" w:hAnsi="Arial"/>
          <w:szCs w:val="24"/>
          <w:u w:val="single"/>
        </w:rPr>
      </w:pPr>
      <w:r w:rsidRPr="00394060">
        <w:rPr>
          <w:rFonts w:ascii="Arial" w:hAnsi="Arial"/>
          <w:szCs w:val="24"/>
          <w:u w:val="single"/>
        </w:rPr>
        <w:t xml:space="preserve">Protocol for Requests for </w:t>
      </w:r>
      <w:r w:rsidR="007602C2">
        <w:rPr>
          <w:rFonts w:ascii="Arial" w:hAnsi="Arial"/>
          <w:szCs w:val="24"/>
          <w:u w:val="single"/>
        </w:rPr>
        <w:t>O</w:t>
      </w:r>
      <w:r w:rsidRPr="00394060">
        <w:rPr>
          <w:rFonts w:ascii="Arial" w:hAnsi="Arial"/>
          <w:szCs w:val="24"/>
          <w:u w:val="single"/>
        </w:rPr>
        <w:t xml:space="preserve">fficers to attend civil court cases as witnesses of fact  </w:t>
      </w:r>
    </w:p>
    <w:p w:rsidR="00B76188" w:rsidRDefault="00B76188" w:rsidP="0012382F">
      <w:pPr>
        <w:rPr>
          <w:rFonts w:ascii="Arial" w:hAnsi="Arial"/>
          <w:szCs w:val="24"/>
          <w:u w:val="single"/>
        </w:rPr>
      </w:pPr>
    </w:p>
    <w:p w:rsidR="0012382F" w:rsidRPr="00394060" w:rsidRDefault="0012382F" w:rsidP="0012382F">
      <w:pPr>
        <w:rPr>
          <w:rFonts w:ascii="Arial" w:hAnsi="Arial"/>
          <w:szCs w:val="24"/>
        </w:rPr>
      </w:pPr>
      <w:r w:rsidRPr="00B76188">
        <w:rPr>
          <w:rFonts w:ascii="Arial" w:hAnsi="Arial"/>
          <w:szCs w:val="24"/>
        </w:rPr>
        <w:t>This</w:t>
      </w:r>
      <w:r w:rsidRPr="00796B7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procedure </w:t>
      </w:r>
      <w:r w:rsidRPr="00394060">
        <w:rPr>
          <w:rFonts w:ascii="Arial" w:hAnsi="Arial"/>
          <w:szCs w:val="24"/>
        </w:rPr>
        <w:t xml:space="preserve">note applies to situations where a request had been received from a non authority source for a National Park </w:t>
      </w:r>
      <w:r w:rsidR="007602C2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>fficer to give evidence in a civil court case where the Pembrokeshire Coast National Park Authority is not a party to the case.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B76188" w:rsidRDefault="0012382F" w:rsidP="0012382F">
      <w:pPr>
        <w:ind w:left="567" w:hanging="567"/>
        <w:rPr>
          <w:rFonts w:ascii="Arial" w:hAnsi="Arial"/>
          <w:szCs w:val="24"/>
        </w:rPr>
      </w:pPr>
      <w:r w:rsidRPr="00B76188">
        <w:rPr>
          <w:rFonts w:ascii="Arial" w:hAnsi="Arial"/>
          <w:szCs w:val="24"/>
        </w:rPr>
        <w:t>1</w:t>
      </w:r>
      <w:r w:rsidRPr="00B76188">
        <w:rPr>
          <w:rFonts w:ascii="Arial" w:hAnsi="Arial"/>
          <w:szCs w:val="24"/>
        </w:rPr>
        <w:tab/>
        <w:t>Request for interview/witness statement</w:t>
      </w:r>
    </w:p>
    <w:p w:rsidR="0012382F" w:rsidRPr="00394060" w:rsidRDefault="0012382F" w:rsidP="0012382F">
      <w:pPr>
        <w:rPr>
          <w:rFonts w:ascii="Arial" w:hAnsi="Arial"/>
          <w:szCs w:val="24"/>
          <w:u w:val="single"/>
        </w:rPr>
      </w:pPr>
    </w:p>
    <w:p w:rsidR="0012382F" w:rsidRPr="00394060" w:rsidRDefault="0012382F" w:rsidP="00B76188">
      <w:pPr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1.1</w:t>
      </w:r>
      <w:r w:rsidRPr="00394060">
        <w:rPr>
          <w:rFonts w:ascii="Arial" w:hAnsi="Arial"/>
          <w:szCs w:val="24"/>
        </w:rPr>
        <w:tab/>
        <w:t xml:space="preserve">If the request from a third party is for the Authority’s </w:t>
      </w:r>
      <w:r w:rsidR="007602C2">
        <w:rPr>
          <w:rFonts w:ascii="Arial" w:hAnsi="Arial"/>
          <w:szCs w:val="24"/>
        </w:rPr>
        <w:t>O</w:t>
      </w:r>
      <w:r w:rsidR="0066241D">
        <w:rPr>
          <w:rFonts w:ascii="Arial" w:hAnsi="Arial"/>
          <w:szCs w:val="24"/>
        </w:rPr>
        <w:t xml:space="preserve">fficer to </w:t>
      </w:r>
      <w:r w:rsidRPr="00394060">
        <w:rPr>
          <w:rFonts w:ascii="Arial" w:hAnsi="Arial"/>
          <w:szCs w:val="24"/>
        </w:rPr>
        <w:t>be interviewed with the intention of him or her providing a witness statement in the form prescribed by the Civil Procedure Rules</w:t>
      </w:r>
      <w:r w:rsidR="0066241D">
        <w:rPr>
          <w:rFonts w:ascii="Arial" w:hAnsi="Arial"/>
          <w:szCs w:val="24"/>
        </w:rPr>
        <w:t xml:space="preserve"> 1998 as amended</w:t>
      </w:r>
      <w:r w:rsidRPr="00394060">
        <w:rPr>
          <w:rFonts w:ascii="Arial" w:hAnsi="Arial"/>
          <w:szCs w:val="24"/>
        </w:rPr>
        <w:t xml:space="preserve">, the Authority shall make the </w:t>
      </w:r>
      <w:r w:rsidR="00B76188">
        <w:rPr>
          <w:rFonts w:ascii="Arial" w:hAnsi="Arial"/>
          <w:szCs w:val="24"/>
        </w:rPr>
        <w:t xml:space="preserve">officer </w:t>
      </w:r>
      <w:r w:rsidRPr="00394060">
        <w:rPr>
          <w:rFonts w:ascii="Arial" w:hAnsi="Arial"/>
          <w:szCs w:val="24"/>
        </w:rPr>
        <w:t xml:space="preserve">available for interview, provided that another </w:t>
      </w:r>
      <w:r w:rsidR="007602C2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 xml:space="preserve">fficer of the </w:t>
      </w:r>
      <w:r w:rsidR="007602C2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uthority is also present.</w:t>
      </w:r>
      <w:r w:rsidR="00B76188">
        <w:rPr>
          <w:rFonts w:ascii="Arial" w:hAnsi="Arial"/>
          <w:szCs w:val="24"/>
        </w:rPr>
        <w:t xml:space="preserve">  </w:t>
      </w:r>
      <w:r w:rsidRPr="00394060">
        <w:rPr>
          <w:rFonts w:ascii="Arial" w:hAnsi="Arial"/>
          <w:szCs w:val="24"/>
        </w:rPr>
        <w:t>Payment for t</w:t>
      </w:r>
      <w:r w:rsidR="0066241D">
        <w:rPr>
          <w:rFonts w:ascii="Arial" w:hAnsi="Arial"/>
          <w:szCs w:val="24"/>
        </w:rPr>
        <w:t xml:space="preserve">he cost of such </w:t>
      </w:r>
      <w:r w:rsidR="007602C2">
        <w:rPr>
          <w:rFonts w:ascii="Arial" w:hAnsi="Arial"/>
          <w:szCs w:val="24"/>
        </w:rPr>
        <w:t>O</w:t>
      </w:r>
      <w:r w:rsidR="0066241D">
        <w:rPr>
          <w:rFonts w:ascii="Arial" w:hAnsi="Arial"/>
          <w:szCs w:val="24"/>
        </w:rPr>
        <w:t xml:space="preserve">fficer’s </w:t>
      </w:r>
      <w:r w:rsidRPr="00394060">
        <w:rPr>
          <w:rFonts w:ascii="Arial" w:hAnsi="Arial"/>
          <w:szCs w:val="24"/>
        </w:rPr>
        <w:t xml:space="preserve">time is </w:t>
      </w:r>
      <w:r w:rsidR="0066241D">
        <w:rPr>
          <w:rFonts w:ascii="Arial" w:hAnsi="Arial"/>
          <w:szCs w:val="24"/>
        </w:rPr>
        <w:t xml:space="preserve">to </w:t>
      </w:r>
      <w:r w:rsidRPr="00394060">
        <w:rPr>
          <w:rFonts w:ascii="Arial" w:hAnsi="Arial"/>
          <w:szCs w:val="24"/>
        </w:rPr>
        <w:t>be agreed in advance of any interview and provided in advance of the meeting.</w:t>
      </w:r>
    </w:p>
    <w:p w:rsidR="0012382F" w:rsidRPr="00394060" w:rsidRDefault="0012382F" w:rsidP="0012382F">
      <w:pPr>
        <w:ind w:left="567" w:hanging="567"/>
        <w:rPr>
          <w:rFonts w:ascii="Arial" w:hAnsi="Arial"/>
          <w:szCs w:val="24"/>
        </w:rPr>
      </w:pPr>
    </w:p>
    <w:p w:rsidR="0012382F" w:rsidRPr="00394060" w:rsidRDefault="0012382F" w:rsidP="0066241D">
      <w:pPr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1.2</w:t>
      </w:r>
      <w:r w:rsidRPr="00394060">
        <w:rPr>
          <w:rFonts w:ascii="Arial" w:hAnsi="Arial"/>
          <w:szCs w:val="24"/>
        </w:rPr>
        <w:tab/>
        <w:t xml:space="preserve">A copy of any draft </w:t>
      </w:r>
      <w:r w:rsidR="00974C39">
        <w:rPr>
          <w:rFonts w:ascii="Arial" w:hAnsi="Arial"/>
          <w:szCs w:val="24"/>
        </w:rPr>
        <w:t>W</w:t>
      </w:r>
      <w:r w:rsidRPr="00394060">
        <w:rPr>
          <w:rFonts w:ascii="Arial" w:hAnsi="Arial"/>
          <w:szCs w:val="24"/>
        </w:rPr>
        <w:t xml:space="preserve">itness </w:t>
      </w:r>
      <w:r w:rsidR="00974C39">
        <w:rPr>
          <w:rFonts w:ascii="Arial" w:hAnsi="Arial"/>
          <w:szCs w:val="24"/>
        </w:rPr>
        <w:t>S</w:t>
      </w:r>
      <w:r w:rsidRPr="00394060">
        <w:rPr>
          <w:rFonts w:ascii="Arial" w:hAnsi="Arial"/>
          <w:szCs w:val="24"/>
        </w:rPr>
        <w:t xml:space="preserve">tatement prepared by the interviewer following the interview, shall be submitted to the Authority’s </w:t>
      </w:r>
      <w:r w:rsidR="00974C39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 xml:space="preserve">fficer for signature, who shall refer it to the </w:t>
      </w:r>
      <w:r w:rsidR="0066241D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 xml:space="preserve">uthority’s </w:t>
      </w:r>
      <w:r w:rsidR="0066241D">
        <w:rPr>
          <w:rFonts w:ascii="Arial" w:hAnsi="Arial"/>
          <w:szCs w:val="24"/>
        </w:rPr>
        <w:t>L</w:t>
      </w:r>
      <w:r w:rsidRPr="00394060">
        <w:rPr>
          <w:rFonts w:ascii="Arial" w:hAnsi="Arial"/>
          <w:szCs w:val="24"/>
        </w:rPr>
        <w:t xml:space="preserve">egal </w:t>
      </w:r>
      <w:r w:rsidR="0066241D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dvisor to consider for any potential breaches of the Data Protection Act 1998</w:t>
      </w:r>
      <w:r>
        <w:rPr>
          <w:rFonts w:ascii="Arial" w:hAnsi="Arial"/>
          <w:szCs w:val="24"/>
        </w:rPr>
        <w:t xml:space="preserve">, Freedom </w:t>
      </w:r>
      <w:r w:rsidRPr="00394060">
        <w:rPr>
          <w:rFonts w:ascii="Arial" w:hAnsi="Arial"/>
          <w:szCs w:val="24"/>
        </w:rPr>
        <w:t xml:space="preserve">of Information Act 2000 and inadvertent disclosure of confidential information held by or concerning the </w:t>
      </w:r>
      <w:r w:rsidR="0066241D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uthority.</w:t>
      </w:r>
    </w:p>
    <w:p w:rsidR="0012382F" w:rsidRPr="00394060" w:rsidRDefault="0012382F" w:rsidP="0012382F">
      <w:pPr>
        <w:ind w:left="567" w:hanging="567"/>
        <w:rPr>
          <w:rFonts w:ascii="Arial" w:hAnsi="Arial"/>
          <w:szCs w:val="24"/>
        </w:rPr>
      </w:pPr>
    </w:p>
    <w:p w:rsidR="0012382F" w:rsidRDefault="0012382F" w:rsidP="0066241D">
      <w:pPr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lastRenderedPageBreak/>
        <w:t>1.3</w:t>
      </w:r>
      <w:r w:rsidRPr="00394060">
        <w:rPr>
          <w:rFonts w:ascii="Arial" w:hAnsi="Arial"/>
          <w:szCs w:val="24"/>
        </w:rPr>
        <w:tab/>
        <w:t xml:space="preserve">A copy of any signed </w:t>
      </w:r>
      <w:r w:rsidR="00974C39">
        <w:rPr>
          <w:rFonts w:ascii="Arial" w:hAnsi="Arial"/>
          <w:szCs w:val="24"/>
        </w:rPr>
        <w:t>W</w:t>
      </w:r>
      <w:r w:rsidRPr="00394060">
        <w:rPr>
          <w:rFonts w:ascii="Arial" w:hAnsi="Arial"/>
          <w:szCs w:val="24"/>
        </w:rPr>
        <w:t xml:space="preserve">itness </w:t>
      </w:r>
      <w:r w:rsidR="00974C39">
        <w:rPr>
          <w:rFonts w:ascii="Arial" w:hAnsi="Arial"/>
          <w:szCs w:val="24"/>
        </w:rPr>
        <w:t>S</w:t>
      </w:r>
      <w:r w:rsidRPr="00394060">
        <w:rPr>
          <w:rFonts w:ascii="Arial" w:hAnsi="Arial"/>
          <w:szCs w:val="24"/>
        </w:rPr>
        <w:t>tatement shall be made available to any other party or parties to the dispute.</w:t>
      </w:r>
    </w:p>
    <w:p w:rsidR="0012382F" w:rsidRPr="00394060" w:rsidRDefault="0012382F" w:rsidP="0066241D">
      <w:pPr>
        <w:ind w:left="1134" w:hanging="567"/>
        <w:rPr>
          <w:rFonts w:ascii="Arial" w:hAnsi="Arial"/>
          <w:szCs w:val="24"/>
        </w:rPr>
      </w:pPr>
    </w:p>
    <w:p w:rsidR="0012382F" w:rsidRDefault="0012382F" w:rsidP="0066241D">
      <w:pPr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1.4</w:t>
      </w:r>
      <w:r w:rsidRPr="00394060">
        <w:rPr>
          <w:rFonts w:ascii="Arial" w:hAnsi="Arial"/>
          <w:szCs w:val="24"/>
        </w:rPr>
        <w:tab/>
        <w:t xml:space="preserve">No </w:t>
      </w:r>
      <w:r w:rsidR="00974C39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 xml:space="preserve">fficer shall attend court in relation to their position as an </w:t>
      </w:r>
      <w:r w:rsidR="00974C39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 xml:space="preserve">fficer of the Authority unless they have been served with a </w:t>
      </w:r>
      <w:r w:rsidR="0066241D">
        <w:rPr>
          <w:rFonts w:ascii="Arial" w:hAnsi="Arial"/>
          <w:szCs w:val="24"/>
        </w:rPr>
        <w:t>W</w:t>
      </w:r>
      <w:r w:rsidRPr="00394060">
        <w:rPr>
          <w:rFonts w:ascii="Arial" w:hAnsi="Arial"/>
          <w:szCs w:val="24"/>
        </w:rPr>
        <w:t xml:space="preserve">itness </w:t>
      </w:r>
      <w:r w:rsidR="0066241D">
        <w:rPr>
          <w:rFonts w:ascii="Arial" w:hAnsi="Arial"/>
          <w:szCs w:val="24"/>
        </w:rPr>
        <w:t>S</w:t>
      </w:r>
      <w:r w:rsidRPr="00394060">
        <w:rPr>
          <w:rFonts w:ascii="Arial" w:hAnsi="Arial"/>
          <w:szCs w:val="24"/>
        </w:rPr>
        <w:t>ummons issued against him or her by the Court in accordance with the Civil Procedure Rules 1998, as amended.</w:t>
      </w:r>
    </w:p>
    <w:p w:rsidR="0012382F" w:rsidRPr="00394060" w:rsidRDefault="0012382F" w:rsidP="0066241D">
      <w:pPr>
        <w:ind w:left="1134" w:hanging="567"/>
        <w:rPr>
          <w:rFonts w:ascii="Arial" w:hAnsi="Arial"/>
          <w:szCs w:val="24"/>
        </w:rPr>
      </w:pPr>
    </w:p>
    <w:p w:rsidR="0012382F" w:rsidRPr="00394060" w:rsidRDefault="0012382F" w:rsidP="0066241D">
      <w:pPr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1.5</w:t>
      </w:r>
      <w:r w:rsidRPr="00394060">
        <w:rPr>
          <w:rFonts w:ascii="Arial" w:hAnsi="Arial"/>
          <w:szCs w:val="24"/>
        </w:rPr>
        <w:tab/>
        <w:t xml:space="preserve">They shall notify the </w:t>
      </w:r>
      <w:r w:rsidR="00974C39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 xml:space="preserve">uthority’s </w:t>
      </w:r>
      <w:r w:rsidR="00974C39">
        <w:rPr>
          <w:rFonts w:ascii="Arial" w:hAnsi="Arial"/>
          <w:szCs w:val="24"/>
        </w:rPr>
        <w:t>L</w:t>
      </w:r>
      <w:r w:rsidRPr="00394060">
        <w:rPr>
          <w:rFonts w:ascii="Arial" w:hAnsi="Arial"/>
          <w:szCs w:val="24"/>
        </w:rPr>
        <w:t xml:space="preserve">egal </w:t>
      </w:r>
      <w:r w:rsidR="00974C39">
        <w:rPr>
          <w:rFonts w:ascii="Arial" w:hAnsi="Arial"/>
          <w:szCs w:val="24"/>
        </w:rPr>
        <w:t>O</w:t>
      </w:r>
      <w:r w:rsidRPr="00394060">
        <w:rPr>
          <w:rFonts w:ascii="Arial" w:hAnsi="Arial"/>
          <w:szCs w:val="24"/>
        </w:rPr>
        <w:t>fficer of the date of their attendance in court.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66241D" w:rsidRDefault="0012382F" w:rsidP="0066241D">
      <w:pPr>
        <w:pStyle w:val="Heading2"/>
        <w:ind w:left="567" w:hanging="567"/>
        <w:rPr>
          <w:rFonts w:ascii="Arial" w:hAnsi="Arial" w:cs="Arial"/>
          <w:b w:val="0"/>
          <w:u w:val="none"/>
        </w:rPr>
      </w:pPr>
      <w:bookmarkStart w:id="0" w:name="_Toc233014813"/>
      <w:r w:rsidRPr="0066241D">
        <w:rPr>
          <w:rFonts w:ascii="Arial" w:hAnsi="Arial" w:cs="Arial"/>
          <w:b w:val="0"/>
          <w:u w:val="none"/>
        </w:rPr>
        <w:t>2</w:t>
      </w:r>
      <w:r w:rsidRPr="0066241D">
        <w:rPr>
          <w:rFonts w:ascii="Arial" w:hAnsi="Arial" w:cs="Arial"/>
          <w:b w:val="0"/>
          <w:u w:val="none"/>
        </w:rPr>
        <w:tab/>
        <w:t>Attendance at court when summoned as a witness</w:t>
      </w:r>
      <w:bookmarkEnd w:id="0"/>
      <w:r w:rsidRPr="0066241D">
        <w:rPr>
          <w:rFonts w:ascii="Arial" w:hAnsi="Arial" w:cs="Arial"/>
          <w:b w:val="0"/>
          <w:u w:val="none"/>
        </w:rPr>
        <w:t xml:space="preserve"> </w:t>
      </w:r>
    </w:p>
    <w:p w:rsidR="0012382F" w:rsidRPr="00394060" w:rsidRDefault="0012382F" w:rsidP="0012382F">
      <w:pPr>
        <w:rPr>
          <w:rFonts w:ascii="Arial" w:hAnsi="Arial"/>
          <w:szCs w:val="24"/>
        </w:rPr>
      </w:pPr>
    </w:p>
    <w:p w:rsidR="0012382F" w:rsidRPr="00394060" w:rsidRDefault="0012382F" w:rsidP="00DD6977">
      <w:pPr>
        <w:autoSpaceDE w:val="0"/>
        <w:autoSpaceDN w:val="0"/>
        <w:adjustRightInd w:val="0"/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2.1</w:t>
      </w:r>
      <w:r w:rsidRPr="00394060">
        <w:rPr>
          <w:rFonts w:ascii="Arial" w:hAnsi="Arial"/>
          <w:szCs w:val="24"/>
        </w:rPr>
        <w:tab/>
        <w:t xml:space="preserve">When representing the </w:t>
      </w:r>
      <w:r w:rsidR="0066241D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uthority</w:t>
      </w:r>
      <w:r w:rsidR="00974C39">
        <w:rPr>
          <w:rFonts w:ascii="Arial" w:hAnsi="Arial"/>
          <w:szCs w:val="24"/>
        </w:rPr>
        <w:t>:</w:t>
      </w:r>
    </w:p>
    <w:p w:rsidR="0012382F" w:rsidRPr="00394060" w:rsidRDefault="0012382F" w:rsidP="00DD6977">
      <w:pPr>
        <w:autoSpaceDE w:val="0"/>
        <w:autoSpaceDN w:val="0"/>
        <w:adjustRightInd w:val="0"/>
        <w:ind w:left="1134" w:hanging="567"/>
        <w:rPr>
          <w:rFonts w:ascii="Arial" w:hAnsi="Arial"/>
          <w:szCs w:val="24"/>
        </w:rPr>
      </w:pPr>
    </w:p>
    <w:p w:rsidR="0012382F" w:rsidRPr="00394060" w:rsidRDefault="0012382F" w:rsidP="00DD6977">
      <w:pPr>
        <w:autoSpaceDE w:val="0"/>
        <w:autoSpaceDN w:val="0"/>
        <w:adjustRightInd w:val="0"/>
        <w:ind w:left="1134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 xml:space="preserve">Where an individual is required to attend court on </w:t>
      </w:r>
      <w:r w:rsidRPr="00394060">
        <w:rPr>
          <w:rFonts w:ascii="Arial" w:hAnsi="Arial"/>
          <w:szCs w:val="24"/>
          <w:u w:val="single"/>
        </w:rPr>
        <w:t>a working day,</w:t>
      </w:r>
      <w:r w:rsidRPr="00394060">
        <w:rPr>
          <w:rFonts w:ascii="Arial" w:hAnsi="Arial"/>
          <w:szCs w:val="24"/>
        </w:rPr>
        <w:t xml:space="preserve"> they will be released to attend, but will normally not be eligible to claim overtime. </w:t>
      </w:r>
    </w:p>
    <w:p w:rsidR="0012382F" w:rsidRPr="00394060" w:rsidRDefault="0012382F" w:rsidP="0012382F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 w:hanging="567"/>
        <w:rPr>
          <w:rFonts w:ascii="Arial" w:hAnsi="Arial" w:cs="Arial"/>
          <w:lang w:val="en-US"/>
        </w:rPr>
      </w:pPr>
    </w:p>
    <w:p w:rsidR="0012382F" w:rsidRPr="00394060" w:rsidRDefault="0012382F" w:rsidP="00DD6977">
      <w:pPr>
        <w:autoSpaceDE w:val="0"/>
        <w:autoSpaceDN w:val="0"/>
        <w:adjustRightInd w:val="0"/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>2.2</w:t>
      </w:r>
      <w:r w:rsidRPr="00394060">
        <w:rPr>
          <w:rFonts w:ascii="Arial" w:hAnsi="Arial"/>
          <w:szCs w:val="24"/>
        </w:rPr>
        <w:tab/>
        <w:t xml:space="preserve">For reasons </w:t>
      </w:r>
      <w:r w:rsidRPr="00DD6977">
        <w:rPr>
          <w:rFonts w:ascii="Arial" w:hAnsi="Arial"/>
          <w:szCs w:val="24"/>
          <w:u w:val="single"/>
        </w:rPr>
        <w:t>not</w:t>
      </w:r>
      <w:r w:rsidRPr="00DD6977">
        <w:rPr>
          <w:rFonts w:ascii="Arial" w:hAnsi="Arial"/>
          <w:szCs w:val="24"/>
        </w:rPr>
        <w:t xml:space="preserve"> r</w:t>
      </w:r>
      <w:r w:rsidRPr="00394060">
        <w:rPr>
          <w:rFonts w:ascii="Arial" w:hAnsi="Arial"/>
          <w:szCs w:val="24"/>
        </w:rPr>
        <w:t xml:space="preserve">elated to the </w:t>
      </w:r>
      <w:r w:rsidR="00974C39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>uthority</w:t>
      </w:r>
      <w:r w:rsidR="00974C39">
        <w:rPr>
          <w:rFonts w:ascii="Arial" w:hAnsi="Arial"/>
          <w:szCs w:val="24"/>
        </w:rPr>
        <w:t>:</w:t>
      </w:r>
    </w:p>
    <w:p w:rsidR="0012382F" w:rsidRPr="00394060" w:rsidRDefault="0012382F" w:rsidP="00DD6977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134" w:hanging="567"/>
        <w:rPr>
          <w:rFonts w:ascii="Arial" w:hAnsi="Arial" w:cs="Arial"/>
          <w:lang w:val="en-US"/>
        </w:rPr>
      </w:pPr>
    </w:p>
    <w:p w:rsidR="0012382F" w:rsidRPr="00394060" w:rsidRDefault="0012382F" w:rsidP="00DD6977">
      <w:pPr>
        <w:autoSpaceDE w:val="0"/>
        <w:autoSpaceDN w:val="0"/>
        <w:adjustRightInd w:val="0"/>
        <w:ind w:left="1134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 xml:space="preserve">Where individuals are summoned to attend court </w:t>
      </w:r>
      <w:r w:rsidRPr="00394060">
        <w:rPr>
          <w:rFonts w:ascii="Arial" w:hAnsi="Arial"/>
          <w:szCs w:val="24"/>
          <w:u w:val="single"/>
        </w:rPr>
        <w:t>on a working day</w:t>
      </w:r>
      <w:r w:rsidRPr="00394060">
        <w:rPr>
          <w:rFonts w:ascii="Arial" w:hAnsi="Arial"/>
          <w:szCs w:val="24"/>
        </w:rPr>
        <w:t xml:space="preserve"> the </w:t>
      </w:r>
      <w:r w:rsidR="00974C39">
        <w:rPr>
          <w:rFonts w:ascii="Arial" w:hAnsi="Arial"/>
          <w:szCs w:val="24"/>
        </w:rPr>
        <w:t>A</w:t>
      </w:r>
      <w:r w:rsidRPr="00394060">
        <w:rPr>
          <w:rFonts w:ascii="Arial" w:hAnsi="Arial"/>
          <w:szCs w:val="24"/>
        </w:rPr>
        <w:t xml:space="preserve">uthority will give them the necessary time off to attend. </w:t>
      </w:r>
    </w:p>
    <w:p w:rsidR="0012382F" w:rsidRPr="00394060" w:rsidRDefault="0012382F" w:rsidP="00DD6977">
      <w:pPr>
        <w:autoSpaceDE w:val="0"/>
        <w:autoSpaceDN w:val="0"/>
        <w:adjustRightInd w:val="0"/>
        <w:ind w:left="1134" w:hanging="567"/>
        <w:rPr>
          <w:rFonts w:ascii="Arial" w:hAnsi="Arial"/>
          <w:szCs w:val="24"/>
        </w:rPr>
      </w:pPr>
      <w:r w:rsidRPr="00394060">
        <w:rPr>
          <w:rFonts w:ascii="Arial" w:hAnsi="Arial"/>
          <w:szCs w:val="24"/>
        </w:rPr>
        <w:t xml:space="preserve"> </w:t>
      </w:r>
    </w:p>
    <w:p w:rsidR="0012382F" w:rsidRDefault="0012382F" w:rsidP="00DD6977">
      <w:pPr>
        <w:pStyle w:val="NormalWeb"/>
        <w:spacing w:before="0" w:beforeAutospacing="0" w:after="0" w:afterAutospacing="0"/>
        <w:ind w:left="1134" w:hanging="567"/>
        <w:rPr>
          <w:rFonts w:ascii="Arial" w:hAnsi="Arial" w:cs="Arial"/>
        </w:rPr>
      </w:pPr>
      <w:r w:rsidRPr="00394060">
        <w:rPr>
          <w:rFonts w:ascii="Arial" w:hAnsi="Arial" w:cs="Arial"/>
          <w:lang w:val="en-US"/>
        </w:rPr>
        <w:t>2.3</w:t>
      </w:r>
      <w:r w:rsidRPr="00394060">
        <w:rPr>
          <w:rFonts w:ascii="Arial" w:hAnsi="Arial" w:cs="Arial"/>
          <w:lang w:val="en-US"/>
        </w:rPr>
        <w:tab/>
      </w:r>
      <w:r w:rsidRPr="00394060">
        <w:rPr>
          <w:rFonts w:ascii="Arial" w:hAnsi="Arial" w:cs="Arial"/>
        </w:rPr>
        <w:t xml:space="preserve">In all instances where employees are summoned to attend court as a witness they </w:t>
      </w:r>
      <w:r w:rsidRPr="00394060">
        <w:rPr>
          <w:rFonts w:ascii="Arial" w:hAnsi="Arial" w:cs="Arial"/>
          <w:b/>
        </w:rPr>
        <w:t>must</w:t>
      </w:r>
      <w:r w:rsidRPr="00394060">
        <w:rPr>
          <w:rFonts w:ascii="Arial" w:hAnsi="Arial" w:cs="Arial"/>
        </w:rPr>
        <w:t xml:space="preserve"> claim loss of earnings and travelling expenses from the party summoning them. The Payroll Section can advise on this.</w:t>
      </w:r>
    </w:p>
    <w:p w:rsidR="0012382F" w:rsidRPr="00394060" w:rsidRDefault="0012382F" w:rsidP="0012382F">
      <w:pPr>
        <w:pStyle w:val="NormalWeb"/>
        <w:spacing w:before="0" w:beforeAutospacing="0" w:after="0" w:afterAutospacing="0"/>
        <w:ind w:left="567" w:hanging="567"/>
        <w:rPr>
          <w:rFonts w:ascii="Arial" w:hAnsi="Arial" w:cs="Arial"/>
        </w:rPr>
      </w:pPr>
    </w:p>
    <w:p w:rsidR="0012382F" w:rsidRPr="00DD6977" w:rsidRDefault="0012382F" w:rsidP="00DD6977">
      <w:pPr>
        <w:pStyle w:val="Heading2"/>
        <w:ind w:left="567" w:hanging="567"/>
        <w:rPr>
          <w:rFonts w:ascii="Arial" w:hAnsi="Arial" w:cs="Arial"/>
          <w:b w:val="0"/>
          <w:u w:val="none"/>
        </w:rPr>
      </w:pPr>
      <w:r w:rsidRPr="00DD6977">
        <w:rPr>
          <w:rFonts w:ascii="Arial" w:hAnsi="Arial" w:cs="Arial"/>
          <w:b w:val="0"/>
          <w:u w:val="none"/>
        </w:rPr>
        <w:t>3</w:t>
      </w:r>
      <w:bookmarkStart w:id="1" w:name="_Toc233014814"/>
      <w:r w:rsidRPr="00DD6977">
        <w:rPr>
          <w:rFonts w:ascii="Arial" w:hAnsi="Arial" w:cs="Arial"/>
          <w:b w:val="0"/>
          <w:u w:val="none"/>
        </w:rPr>
        <w:tab/>
        <w:t>Returning to Work</w:t>
      </w:r>
      <w:bookmarkEnd w:id="1"/>
    </w:p>
    <w:p w:rsidR="0012382F" w:rsidRPr="00796B71" w:rsidRDefault="0012382F" w:rsidP="0012382F"/>
    <w:p w:rsidR="0012382F" w:rsidRDefault="0012382F" w:rsidP="00DD6977">
      <w:pPr>
        <w:pStyle w:val="BodyTextIndent"/>
        <w:spacing w:before="0" w:beforeAutospacing="0" w:after="0" w:afterAutospacing="0"/>
        <w:ind w:left="567"/>
        <w:jc w:val="left"/>
        <w:rPr>
          <w:szCs w:val="24"/>
        </w:rPr>
      </w:pPr>
      <w:r w:rsidRPr="00394060">
        <w:rPr>
          <w:szCs w:val="24"/>
        </w:rPr>
        <w:t>In cases where personnel who were originally requir</w:t>
      </w:r>
      <w:r w:rsidR="00DD6977">
        <w:rPr>
          <w:szCs w:val="24"/>
        </w:rPr>
        <w:t xml:space="preserve">ed to attend court on working </w:t>
      </w:r>
      <w:r w:rsidRPr="00394060">
        <w:rPr>
          <w:szCs w:val="24"/>
        </w:rPr>
        <w:t xml:space="preserve">day(s) are no longer required to do so e.g. a court case has been delayed, it is expected that the individual will inform their line manager and return to their normal duties, where appropriate. </w:t>
      </w:r>
    </w:p>
    <w:p w:rsidR="0012382F" w:rsidRPr="00394060" w:rsidRDefault="0012382F" w:rsidP="0012382F">
      <w:pPr>
        <w:pStyle w:val="BodyTextIndent"/>
        <w:spacing w:before="0" w:beforeAutospacing="0" w:after="0" w:afterAutospacing="0"/>
        <w:rPr>
          <w:szCs w:val="24"/>
        </w:rPr>
      </w:pPr>
    </w:p>
    <w:p w:rsidR="0012382F" w:rsidRPr="00DD6977" w:rsidRDefault="0012382F" w:rsidP="00DD6977">
      <w:pPr>
        <w:pStyle w:val="Heading2"/>
        <w:ind w:left="567" w:hanging="567"/>
        <w:rPr>
          <w:rFonts w:ascii="Arial" w:hAnsi="Arial" w:cs="Arial"/>
          <w:b w:val="0"/>
          <w:u w:val="none"/>
        </w:rPr>
      </w:pPr>
      <w:bookmarkStart w:id="2" w:name="_Toc233014815"/>
      <w:r w:rsidRPr="00DD6977">
        <w:rPr>
          <w:rFonts w:ascii="Arial" w:hAnsi="Arial" w:cs="Arial"/>
          <w:b w:val="0"/>
          <w:u w:val="none"/>
        </w:rPr>
        <w:t>4</w:t>
      </w:r>
      <w:r w:rsidRPr="00DD6977">
        <w:rPr>
          <w:rFonts w:ascii="Arial" w:hAnsi="Arial" w:cs="Arial"/>
          <w:b w:val="0"/>
          <w:u w:val="none"/>
        </w:rPr>
        <w:tab/>
        <w:t>Attendance at Court for personal reasons</w:t>
      </w:r>
      <w:bookmarkStart w:id="3" w:name="_Toc233014816"/>
      <w:bookmarkEnd w:id="2"/>
    </w:p>
    <w:p w:rsidR="0012382F" w:rsidRPr="00394060" w:rsidRDefault="0012382F" w:rsidP="0012382F">
      <w:pPr>
        <w:pStyle w:val="Heading2"/>
      </w:pPr>
    </w:p>
    <w:p w:rsidR="0012382F" w:rsidRPr="00796B71" w:rsidRDefault="0012382F" w:rsidP="0012382F">
      <w:pPr>
        <w:ind w:left="567"/>
        <w:rPr>
          <w:rFonts w:ascii="Arial" w:hAnsi="Arial"/>
          <w:szCs w:val="24"/>
        </w:rPr>
      </w:pPr>
      <w:r w:rsidRPr="00796B71">
        <w:rPr>
          <w:rFonts w:ascii="Arial" w:hAnsi="Arial"/>
          <w:szCs w:val="24"/>
        </w:rPr>
        <w:t>Where individuals are required to attend court for personal reasons e.g. as a defendant, they will be expected to attend in their own time,</w:t>
      </w:r>
      <w:r>
        <w:rPr>
          <w:rFonts w:ascii="Arial" w:hAnsi="Arial"/>
          <w:szCs w:val="24"/>
        </w:rPr>
        <w:t xml:space="preserve"> </w:t>
      </w:r>
      <w:r w:rsidRPr="00796B71">
        <w:rPr>
          <w:rFonts w:ascii="Arial" w:hAnsi="Arial"/>
          <w:szCs w:val="24"/>
        </w:rPr>
        <w:t xml:space="preserve">or request holiday. It is unlikely that time would </w:t>
      </w:r>
      <w:r>
        <w:rPr>
          <w:rFonts w:ascii="Arial" w:hAnsi="Arial"/>
          <w:szCs w:val="24"/>
        </w:rPr>
        <w:t xml:space="preserve">be granted </w:t>
      </w:r>
      <w:r w:rsidRPr="00796B71">
        <w:rPr>
          <w:rFonts w:ascii="Arial" w:hAnsi="Arial"/>
          <w:szCs w:val="24"/>
        </w:rPr>
        <w:t>under any of the Authority’s</w:t>
      </w:r>
      <w:r w:rsidR="00DD6977">
        <w:rPr>
          <w:rFonts w:ascii="Arial" w:hAnsi="Arial"/>
          <w:szCs w:val="24"/>
        </w:rPr>
        <w:t xml:space="preserve"> “Time </w:t>
      </w:r>
      <w:proofErr w:type="gramStart"/>
      <w:r w:rsidR="00DD6977">
        <w:rPr>
          <w:rFonts w:ascii="Arial" w:hAnsi="Arial"/>
          <w:szCs w:val="24"/>
        </w:rPr>
        <w:t>O</w:t>
      </w:r>
      <w:r w:rsidRPr="00796B71">
        <w:rPr>
          <w:rFonts w:ascii="Arial" w:hAnsi="Arial"/>
          <w:szCs w:val="24"/>
        </w:rPr>
        <w:t>ff</w:t>
      </w:r>
      <w:proofErr w:type="gramEnd"/>
      <w:r w:rsidRPr="00796B71">
        <w:rPr>
          <w:rFonts w:ascii="Arial" w:hAnsi="Arial"/>
          <w:szCs w:val="24"/>
        </w:rPr>
        <w:t xml:space="preserve"> </w:t>
      </w:r>
      <w:r w:rsidR="00DD6977">
        <w:rPr>
          <w:rFonts w:ascii="Arial" w:hAnsi="Arial"/>
          <w:szCs w:val="24"/>
        </w:rPr>
        <w:t>W</w:t>
      </w:r>
      <w:r w:rsidRPr="00796B71">
        <w:rPr>
          <w:rFonts w:ascii="Arial" w:hAnsi="Arial"/>
          <w:szCs w:val="24"/>
        </w:rPr>
        <w:t>ork” provisions.</w:t>
      </w:r>
      <w:bookmarkEnd w:id="3"/>
    </w:p>
    <w:p w:rsidR="0023363F" w:rsidRPr="006E326A" w:rsidRDefault="0023363F">
      <w:pPr>
        <w:jc w:val="both"/>
        <w:rPr>
          <w:rFonts w:ascii="Arial" w:hAnsi="Arial" w:cs="Arial"/>
        </w:rPr>
      </w:pPr>
    </w:p>
    <w:p w:rsidR="0023363F" w:rsidRPr="006E326A" w:rsidRDefault="0023363F">
      <w:pPr>
        <w:jc w:val="both"/>
        <w:rPr>
          <w:rFonts w:ascii="Arial" w:hAnsi="Arial" w:cs="Arial"/>
          <w:sz w:val="20"/>
        </w:rPr>
      </w:pPr>
    </w:p>
    <w:p w:rsidR="0023363F" w:rsidRPr="006E326A" w:rsidRDefault="0023363F">
      <w:pPr>
        <w:jc w:val="both"/>
        <w:rPr>
          <w:rFonts w:ascii="Arial" w:hAnsi="Arial" w:cs="Arial"/>
          <w:i/>
          <w:iCs/>
          <w:sz w:val="20"/>
        </w:rPr>
      </w:pPr>
      <w:r w:rsidRPr="006E326A">
        <w:rPr>
          <w:rFonts w:ascii="Arial" w:hAnsi="Arial" w:cs="Arial"/>
          <w:i/>
          <w:iCs/>
          <w:sz w:val="20"/>
        </w:rPr>
        <w:t>(For furth</w:t>
      </w:r>
      <w:r w:rsidR="00DD6977">
        <w:rPr>
          <w:rFonts w:ascii="Arial" w:hAnsi="Arial" w:cs="Arial"/>
          <w:i/>
          <w:iCs/>
          <w:sz w:val="20"/>
        </w:rPr>
        <w:t>er information, please contact John Parsons on ext. 4904</w:t>
      </w:r>
      <w:r w:rsidRPr="006E326A">
        <w:rPr>
          <w:rFonts w:ascii="Arial" w:hAnsi="Arial" w:cs="Arial"/>
          <w:i/>
          <w:iCs/>
          <w:sz w:val="20"/>
        </w:rPr>
        <w:t>)</w:t>
      </w:r>
    </w:p>
    <w:sectPr w:rsidR="0023363F" w:rsidRPr="006E326A" w:rsidSect="00897E7D">
      <w:foot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BF" w:rsidRDefault="006A15BF">
      <w:r>
        <w:separator/>
      </w:r>
    </w:p>
  </w:endnote>
  <w:endnote w:type="continuationSeparator" w:id="0">
    <w:p w:rsidR="006A15BF" w:rsidRDefault="006A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BF" w:rsidRDefault="006A15BF">
    <w:pPr>
      <w:pStyle w:val="Footer"/>
      <w:tabs>
        <w:tab w:val="clear" w:pos="4153"/>
        <w:tab w:val="right" w:pos="9540"/>
      </w:tabs>
      <w:rPr>
        <w:snapToGrid w:val="0"/>
        <w:color w:val="333333"/>
        <w:sz w:val="22"/>
      </w:rPr>
    </w:pPr>
  </w:p>
  <w:p w:rsidR="006A15BF" w:rsidRPr="006E326A" w:rsidRDefault="006A15BF">
    <w:pPr>
      <w:pStyle w:val="Footer"/>
      <w:tabs>
        <w:tab w:val="clear" w:pos="4153"/>
        <w:tab w:val="right" w:pos="9540"/>
      </w:tabs>
      <w:rPr>
        <w:rFonts w:ascii="Arial" w:hAnsi="Arial" w:cs="Arial"/>
        <w:snapToGrid w:val="0"/>
        <w:color w:val="333333"/>
        <w:sz w:val="22"/>
      </w:rPr>
    </w:pPr>
    <w:r w:rsidRPr="006E326A">
      <w:rPr>
        <w:rFonts w:ascii="Arial" w:hAnsi="Arial" w:cs="Arial"/>
        <w:snapToGrid w:val="0"/>
        <w:color w:val="333333"/>
        <w:sz w:val="22"/>
      </w:rPr>
      <w:t>Pembrokeshire Coast National Park Authority</w:t>
    </w:r>
    <w:r w:rsidRPr="006E326A">
      <w:rPr>
        <w:rFonts w:ascii="Arial" w:hAnsi="Arial" w:cs="Arial"/>
        <w:snapToGrid w:val="0"/>
        <w:color w:val="333333"/>
        <w:sz w:val="22"/>
      </w:rPr>
      <w:tab/>
    </w:r>
    <w:r w:rsidRPr="006E326A">
      <w:rPr>
        <w:rFonts w:ascii="Arial" w:hAnsi="Arial" w:cs="Arial"/>
        <w:snapToGrid w:val="0"/>
        <w:color w:val="333333"/>
        <w:sz w:val="22"/>
      </w:rPr>
      <w:tab/>
    </w:r>
    <w:r w:rsidRPr="006E326A">
      <w:rPr>
        <w:rFonts w:ascii="Arial" w:hAnsi="Arial" w:cs="Arial"/>
        <w:snapToGrid w:val="0"/>
        <w:color w:val="333333"/>
        <w:sz w:val="22"/>
      </w:rPr>
      <w:tab/>
    </w:r>
  </w:p>
  <w:p w:rsidR="006A15BF" w:rsidRPr="006E326A" w:rsidRDefault="006A15BF" w:rsidP="006E326A">
    <w:pPr>
      <w:pStyle w:val="Footer"/>
      <w:tabs>
        <w:tab w:val="clear" w:pos="4153"/>
      </w:tabs>
      <w:rPr>
        <w:rFonts w:ascii="Arial" w:hAnsi="Arial" w:cs="Arial"/>
        <w:color w:val="333333"/>
        <w:sz w:val="22"/>
      </w:rPr>
    </w:pPr>
    <w:r>
      <w:rPr>
        <w:rFonts w:ascii="Arial" w:hAnsi="Arial" w:cs="Arial"/>
        <w:snapToGrid w:val="0"/>
        <w:color w:val="333333"/>
        <w:sz w:val="22"/>
      </w:rPr>
      <w:t>Standards</w:t>
    </w:r>
    <w:r w:rsidRPr="006E326A">
      <w:rPr>
        <w:rFonts w:ascii="Arial" w:hAnsi="Arial" w:cs="Arial"/>
        <w:snapToGrid w:val="0"/>
        <w:color w:val="333333"/>
        <w:sz w:val="22"/>
      </w:rPr>
      <w:t xml:space="preserve"> Committee </w:t>
    </w:r>
    <w:r>
      <w:rPr>
        <w:rFonts w:ascii="Arial" w:hAnsi="Arial" w:cs="Arial"/>
        <w:snapToGrid w:val="0"/>
        <w:color w:val="333333"/>
        <w:sz w:val="22"/>
      </w:rPr>
      <w:t>28</w:t>
    </w:r>
    <w:r w:rsidRPr="00DD6977">
      <w:rPr>
        <w:rFonts w:ascii="Arial" w:hAnsi="Arial" w:cs="Arial"/>
        <w:snapToGrid w:val="0"/>
        <w:color w:val="333333"/>
        <w:sz w:val="22"/>
        <w:vertAlign w:val="superscript"/>
      </w:rPr>
      <w:t>th</w:t>
    </w:r>
    <w:r>
      <w:rPr>
        <w:rFonts w:ascii="Arial" w:hAnsi="Arial" w:cs="Arial"/>
        <w:snapToGrid w:val="0"/>
        <w:color w:val="333333"/>
        <w:sz w:val="22"/>
      </w:rPr>
      <w:t xml:space="preserve">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BF" w:rsidRDefault="006A15BF">
      <w:r>
        <w:separator/>
      </w:r>
    </w:p>
  </w:footnote>
  <w:footnote w:type="continuationSeparator" w:id="0">
    <w:p w:rsidR="006A15BF" w:rsidRDefault="006A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188"/>
    <w:rsid w:val="0012382F"/>
    <w:rsid w:val="0023363F"/>
    <w:rsid w:val="0066241D"/>
    <w:rsid w:val="006A15BF"/>
    <w:rsid w:val="006E326A"/>
    <w:rsid w:val="007602C2"/>
    <w:rsid w:val="00897E7D"/>
    <w:rsid w:val="00974C39"/>
    <w:rsid w:val="00B76188"/>
    <w:rsid w:val="00D30E1B"/>
    <w:rsid w:val="00D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E7D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97E7D"/>
    <w:pPr>
      <w:keepNext/>
      <w:outlineLvl w:val="1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E7D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12382F"/>
    <w:rPr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rsid w:val="0012382F"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link w:val="BodyTextIndentChar"/>
    <w:rsid w:val="0012382F"/>
    <w:pPr>
      <w:spacing w:before="100" w:beforeAutospacing="1" w:after="100" w:afterAutospacing="1"/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2382F"/>
    <w:rPr>
      <w:rFonts w:ascii="Arial" w:hAnsi="Arial" w:cs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el\Application%20Data\Microsoft\Templates\Report%20new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new style.dot</Template>
  <TotalTime>19</TotalTime>
  <Pages>2</Pages>
  <Words>659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COAST NATIONAL PARK AUTHORITY</vt:lpstr>
    </vt:vector>
  </TitlesOfParts>
  <Company>PCNPA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COAST NATIONAL PARK AUTHORITY</dc:title>
  <dc:creator>Marguerite Muskett</dc:creator>
  <cp:lastModifiedBy> Caroline Llewellyn</cp:lastModifiedBy>
  <cp:revision>2</cp:revision>
  <cp:lastPrinted>1601-01-01T00:00:00Z</cp:lastPrinted>
  <dcterms:created xsi:type="dcterms:W3CDTF">2011-09-15T13:19:00Z</dcterms:created>
  <dcterms:modified xsi:type="dcterms:W3CDTF">2011-09-15T14:38:00Z</dcterms:modified>
</cp:coreProperties>
</file>